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sz w:val="36"/>
          <w:szCs w:val="36"/>
        </w:rPr>
      </w:pPr>
    </w:p>
    <w:p>
      <w:pPr>
        <w:jc w:val="center"/>
        <w:rPr>
          <w:rFonts w:ascii="宋体" w:hAnsi="宋体" w:eastAsia="宋体"/>
          <w:sz w:val="36"/>
          <w:szCs w:val="36"/>
        </w:rPr>
      </w:pPr>
    </w:p>
    <w:p>
      <w:pPr>
        <w:jc w:val="center"/>
        <w:rPr>
          <w:rFonts w:ascii="宋体" w:hAnsi="宋体" w:eastAsia="宋体"/>
          <w:sz w:val="36"/>
          <w:szCs w:val="36"/>
        </w:rPr>
      </w:pPr>
    </w:p>
    <w:p>
      <w:pPr>
        <w:jc w:val="center"/>
        <w:rPr>
          <w:rFonts w:ascii="宋体" w:hAnsi="宋体" w:eastAsia="宋体"/>
          <w:sz w:val="36"/>
          <w:szCs w:val="36"/>
        </w:rPr>
      </w:pPr>
    </w:p>
    <w:p>
      <w:pPr>
        <w:jc w:val="center"/>
        <w:rPr>
          <w:rFonts w:ascii="宋体" w:hAnsi="宋体" w:eastAsia="宋体"/>
          <w:sz w:val="44"/>
          <w:szCs w:val="44"/>
        </w:rPr>
      </w:pPr>
    </w:p>
    <w:p>
      <w:pPr>
        <w:jc w:val="center"/>
        <w:rPr>
          <w:rFonts w:ascii="宋体" w:hAnsi="宋体" w:eastAsia="宋体"/>
          <w:sz w:val="44"/>
          <w:szCs w:val="44"/>
        </w:rPr>
      </w:pPr>
    </w:p>
    <w:p>
      <w:pPr>
        <w:jc w:val="center"/>
        <w:rPr>
          <w:rFonts w:ascii="黑体" w:hAnsi="黑体" w:eastAsia="黑体"/>
          <w:sz w:val="44"/>
          <w:szCs w:val="44"/>
        </w:rPr>
      </w:pPr>
      <w:r>
        <w:rPr>
          <w:rFonts w:hint="eastAsia" w:ascii="黑体" w:hAnsi="黑体" w:eastAsia="黑体"/>
          <w:sz w:val="44"/>
          <w:szCs w:val="44"/>
        </w:rPr>
        <w:t>《建筑</w:t>
      </w:r>
      <w:r>
        <w:rPr>
          <w:rFonts w:hint="eastAsia" w:ascii="黑体" w:hAnsi="黑体" w:eastAsia="黑体"/>
          <w:sz w:val="44"/>
          <w:szCs w:val="44"/>
          <w:lang w:val="en-US" w:eastAsia="zh-Hans"/>
        </w:rPr>
        <w:t>材料行业企业环境</w:t>
      </w:r>
      <w:r>
        <w:rPr>
          <w:rFonts w:hint="default" w:ascii="黑体" w:hAnsi="黑体" w:eastAsia="黑体"/>
          <w:sz w:val="44"/>
          <w:szCs w:val="44"/>
          <w:lang w:eastAsia="zh-Hans"/>
        </w:rPr>
        <w:t>、</w:t>
      </w:r>
      <w:r>
        <w:rPr>
          <w:rFonts w:hint="eastAsia" w:ascii="黑体" w:hAnsi="黑体" w:eastAsia="黑体"/>
          <w:sz w:val="44"/>
          <w:szCs w:val="44"/>
          <w:lang w:val="en-US" w:eastAsia="zh-Hans"/>
        </w:rPr>
        <w:t>社会和公司治理</w:t>
      </w:r>
      <w:r>
        <w:rPr>
          <w:rFonts w:hint="default" w:ascii="黑体" w:hAnsi="黑体" w:eastAsia="黑体"/>
          <w:sz w:val="44"/>
          <w:szCs w:val="44"/>
          <w:lang w:eastAsia="zh-Hans"/>
        </w:rPr>
        <w:t>（ESG）</w:t>
      </w:r>
      <w:r>
        <w:rPr>
          <w:rFonts w:hint="eastAsia" w:ascii="黑体" w:hAnsi="黑体" w:eastAsia="黑体"/>
          <w:sz w:val="44"/>
          <w:szCs w:val="44"/>
          <w:lang w:val="en-US" w:eastAsia="zh-Hans"/>
        </w:rPr>
        <w:t>指南</w:t>
      </w:r>
      <w:r>
        <w:rPr>
          <w:rFonts w:hint="default" w:ascii="黑体" w:hAnsi="黑体" w:eastAsia="黑体"/>
          <w:sz w:val="44"/>
          <w:szCs w:val="44"/>
          <w:lang w:eastAsia="zh-Hans"/>
        </w:rPr>
        <w:t xml:space="preserve"> </w:t>
      </w:r>
      <w:r>
        <w:rPr>
          <w:rFonts w:hint="eastAsia" w:ascii="黑体" w:hAnsi="黑体" w:eastAsia="黑体"/>
          <w:sz w:val="44"/>
          <w:szCs w:val="44"/>
          <w:lang w:val="en-US" w:eastAsia="zh-Hans"/>
        </w:rPr>
        <w:t>第</w:t>
      </w:r>
      <w:r>
        <w:rPr>
          <w:rFonts w:hint="default" w:ascii="黑体" w:hAnsi="黑体" w:eastAsia="黑体"/>
          <w:sz w:val="44"/>
          <w:szCs w:val="44"/>
          <w:lang w:eastAsia="zh-Hans"/>
        </w:rPr>
        <w:t>1</w:t>
      </w:r>
      <w:r>
        <w:rPr>
          <w:rFonts w:hint="eastAsia" w:ascii="黑体" w:hAnsi="黑体" w:eastAsia="黑体"/>
          <w:sz w:val="44"/>
          <w:szCs w:val="44"/>
          <w:lang w:val="en-US" w:eastAsia="zh-Hans"/>
        </w:rPr>
        <w:t>部分</w:t>
      </w:r>
      <w:r>
        <w:rPr>
          <w:rFonts w:hint="default" w:ascii="黑体" w:hAnsi="黑体" w:eastAsia="黑体"/>
          <w:sz w:val="44"/>
          <w:szCs w:val="44"/>
          <w:lang w:eastAsia="zh-Hans"/>
        </w:rPr>
        <w:t>：</w:t>
      </w:r>
      <w:r>
        <w:rPr>
          <w:rFonts w:hint="eastAsia" w:ascii="黑体" w:hAnsi="黑体" w:eastAsia="黑体"/>
          <w:sz w:val="44"/>
          <w:szCs w:val="44"/>
          <w:lang w:val="en-US" w:eastAsia="zh-Hans"/>
        </w:rPr>
        <w:t>信息披露</w:t>
      </w:r>
      <w:r>
        <w:rPr>
          <w:rFonts w:hint="eastAsia" w:ascii="黑体" w:hAnsi="黑体" w:eastAsia="黑体"/>
          <w:sz w:val="44"/>
          <w:szCs w:val="44"/>
        </w:rPr>
        <w:t>》</w:t>
      </w:r>
    </w:p>
    <w:p>
      <w:pPr>
        <w:jc w:val="center"/>
        <w:rPr>
          <w:rFonts w:ascii="黑体" w:hAnsi="黑体" w:eastAsia="黑体"/>
          <w:sz w:val="44"/>
          <w:szCs w:val="44"/>
        </w:rPr>
      </w:pPr>
      <w:r>
        <w:rPr>
          <w:rFonts w:hint="eastAsia" w:ascii="黑体" w:hAnsi="黑体" w:eastAsia="黑体"/>
          <w:sz w:val="44"/>
          <w:szCs w:val="44"/>
        </w:rPr>
        <w:t>编制说明</w:t>
      </w:r>
    </w:p>
    <w:p>
      <w:pPr>
        <w:jc w:val="center"/>
        <w:rPr>
          <w:rFonts w:ascii="黑体" w:hAnsi="黑体" w:eastAsia="黑体"/>
          <w:sz w:val="44"/>
          <w:szCs w:val="44"/>
        </w:rPr>
      </w:pPr>
      <w:r>
        <w:rPr>
          <w:rFonts w:hint="eastAsia" w:ascii="黑体" w:hAnsi="黑体" w:eastAsia="黑体"/>
          <w:sz w:val="44"/>
          <w:szCs w:val="44"/>
        </w:rPr>
        <w:t>（</w:t>
      </w:r>
      <w:r>
        <w:rPr>
          <w:rFonts w:hint="eastAsia" w:ascii="黑体" w:hAnsi="黑体" w:eastAsia="黑体"/>
          <w:sz w:val="44"/>
          <w:szCs w:val="44"/>
          <w:lang w:val="en-US" w:eastAsia="zh-CN"/>
        </w:rPr>
        <w:t>征求意见</w:t>
      </w:r>
      <w:r>
        <w:rPr>
          <w:rFonts w:hint="eastAsia" w:ascii="黑体" w:hAnsi="黑体" w:eastAsia="黑体"/>
          <w:sz w:val="44"/>
          <w:szCs w:val="44"/>
        </w:rPr>
        <w:t>稿）</w:t>
      </w:r>
    </w:p>
    <w:p>
      <w:pPr>
        <w:jc w:val="center"/>
        <w:rPr>
          <w:rFonts w:ascii="宋体" w:hAnsi="宋体" w:eastAsia="宋体"/>
          <w:sz w:val="44"/>
          <w:szCs w:val="44"/>
        </w:rPr>
      </w:pPr>
    </w:p>
    <w:p>
      <w:pPr>
        <w:jc w:val="center"/>
        <w:rPr>
          <w:rFonts w:ascii="宋体" w:hAnsi="宋体" w:eastAsia="宋体"/>
          <w:sz w:val="44"/>
          <w:szCs w:val="44"/>
        </w:rPr>
      </w:pPr>
    </w:p>
    <w:p>
      <w:pPr>
        <w:jc w:val="center"/>
        <w:rPr>
          <w:rFonts w:ascii="宋体" w:hAnsi="宋体" w:eastAsia="宋体"/>
          <w:sz w:val="44"/>
          <w:szCs w:val="44"/>
        </w:rPr>
      </w:pPr>
    </w:p>
    <w:p>
      <w:pPr>
        <w:jc w:val="center"/>
        <w:rPr>
          <w:rFonts w:ascii="宋体" w:hAnsi="宋体" w:eastAsia="宋体"/>
          <w:sz w:val="44"/>
          <w:szCs w:val="44"/>
        </w:rPr>
      </w:pPr>
    </w:p>
    <w:p>
      <w:pPr>
        <w:jc w:val="center"/>
        <w:rPr>
          <w:rFonts w:ascii="宋体" w:hAnsi="宋体" w:eastAsia="宋体"/>
          <w:sz w:val="44"/>
          <w:szCs w:val="44"/>
        </w:rPr>
      </w:pPr>
    </w:p>
    <w:p>
      <w:pPr>
        <w:jc w:val="center"/>
        <w:rPr>
          <w:rFonts w:ascii="宋体" w:hAnsi="宋体" w:eastAsia="宋体"/>
          <w:sz w:val="44"/>
          <w:szCs w:val="44"/>
        </w:rPr>
      </w:pPr>
    </w:p>
    <w:p>
      <w:pPr>
        <w:jc w:val="center"/>
        <w:rPr>
          <w:rFonts w:ascii="宋体" w:hAnsi="宋体" w:eastAsia="宋体"/>
          <w:sz w:val="44"/>
          <w:szCs w:val="44"/>
        </w:rPr>
      </w:pPr>
    </w:p>
    <w:p>
      <w:pPr>
        <w:jc w:val="center"/>
        <w:rPr>
          <w:rFonts w:ascii="宋体" w:hAnsi="宋体" w:eastAsia="宋体"/>
          <w:sz w:val="44"/>
          <w:szCs w:val="44"/>
        </w:rPr>
      </w:pPr>
    </w:p>
    <w:p>
      <w:pPr>
        <w:jc w:val="center"/>
        <w:rPr>
          <w:rFonts w:ascii="宋体" w:hAnsi="宋体" w:eastAsia="宋体"/>
          <w:sz w:val="44"/>
          <w:szCs w:val="44"/>
        </w:rPr>
      </w:pPr>
    </w:p>
    <w:p>
      <w:pPr>
        <w:jc w:val="both"/>
        <w:rPr>
          <w:rFonts w:ascii="宋体" w:hAnsi="宋体" w:eastAsia="宋体"/>
          <w:sz w:val="24"/>
          <w:szCs w:val="24"/>
        </w:rPr>
      </w:pPr>
    </w:p>
    <w:p>
      <w:pPr>
        <w:jc w:val="center"/>
        <w:rPr>
          <w:rFonts w:ascii="宋体" w:hAnsi="宋体" w:eastAsia="宋体"/>
          <w:sz w:val="24"/>
          <w:szCs w:val="24"/>
        </w:rPr>
      </w:pPr>
      <w:r>
        <w:rPr>
          <w:rFonts w:hint="eastAsia" w:ascii="宋体" w:hAnsi="宋体"/>
          <w:sz w:val="24"/>
          <w:szCs w:val="24"/>
          <w:lang w:val="en-US" w:eastAsia="zh-CN"/>
        </w:rPr>
        <w:t>标准</w:t>
      </w:r>
      <w:r>
        <w:rPr>
          <w:rFonts w:hint="eastAsia" w:ascii="宋体" w:hAnsi="宋体" w:eastAsia="宋体"/>
          <w:sz w:val="24"/>
          <w:szCs w:val="24"/>
        </w:rPr>
        <w:t>编制组</w:t>
      </w:r>
    </w:p>
    <w:p>
      <w:pPr>
        <w:jc w:val="center"/>
        <w:rPr>
          <w:rFonts w:ascii="宋体" w:hAnsi="宋体" w:eastAsia="宋体"/>
          <w:sz w:val="24"/>
          <w:szCs w:val="24"/>
        </w:rPr>
        <w:sectPr>
          <w:footerReference r:id="rId5" w:type="first"/>
          <w:pgSz w:w="11906" w:h="16838"/>
          <w:pgMar w:top="1440" w:right="1800" w:bottom="1440" w:left="1800" w:header="851" w:footer="992" w:gutter="0"/>
          <w:cols w:space="425" w:num="1"/>
          <w:docGrid w:type="lines" w:linePitch="312" w:charSpace="0"/>
        </w:sectPr>
      </w:pPr>
      <w:r>
        <w:rPr>
          <w:rFonts w:hint="eastAsia" w:ascii="宋体" w:hAnsi="宋体" w:eastAsia="宋体"/>
          <w:sz w:val="24"/>
          <w:szCs w:val="24"/>
        </w:rPr>
        <w:t>20</w:t>
      </w:r>
      <w:r>
        <w:rPr>
          <w:rFonts w:ascii="宋体" w:hAnsi="宋体" w:eastAsia="宋体"/>
          <w:sz w:val="24"/>
          <w:szCs w:val="24"/>
        </w:rPr>
        <w:t>2</w:t>
      </w:r>
      <w:r>
        <w:rPr>
          <w:rFonts w:hint="eastAsia" w:ascii="宋体" w:hAnsi="宋体"/>
          <w:sz w:val="24"/>
          <w:szCs w:val="24"/>
          <w:lang w:val="en-US" w:eastAsia="zh-CN"/>
        </w:rPr>
        <w:t>4</w:t>
      </w:r>
      <w:r>
        <w:rPr>
          <w:rFonts w:hint="eastAsia" w:ascii="宋体" w:hAnsi="宋体" w:eastAsia="宋体"/>
          <w:sz w:val="24"/>
          <w:szCs w:val="24"/>
        </w:rPr>
        <w:t>年</w:t>
      </w:r>
      <w:r>
        <w:rPr>
          <w:rFonts w:hint="eastAsia" w:ascii="宋体" w:hAnsi="宋体"/>
          <w:sz w:val="24"/>
          <w:szCs w:val="24"/>
          <w:lang w:val="en-US" w:eastAsia="zh-CN"/>
        </w:rPr>
        <w:t>1</w:t>
      </w:r>
      <w:r>
        <w:rPr>
          <w:rFonts w:hint="eastAsia" w:ascii="宋体" w:hAnsi="宋体" w:eastAsia="宋体"/>
          <w:sz w:val="24"/>
          <w:szCs w:val="24"/>
        </w:rPr>
        <w:t>月</w:t>
      </w:r>
    </w:p>
    <w:p>
      <w:pPr>
        <w:pStyle w:val="2"/>
        <w:spacing w:line="360" w:lineRule="auto"/>
      </w:pPr>
      <w:r>
        <w:rPr>
          <w:rFonts w:hint="eastAsia"/>
        </w:rPr>
        <w:t>1.</w:t>
      </w:r>
      <w:r>
        <w:t xml:space="preserve"> </w:t>
      </w:r>
      <w:r>
        <w:rPr>
          <w:rFonts w:hint="eastAsia"/>
        </w:rPr>
        <w:t>工作简况</w:t>
      </w:r>
    </w:p>
    <w:p>
      <w:pPr>
        <w:pStyle w:val="3"/>
        <w:spacing w:line="360" w:lineRule="auto"/>
      </w:pPr>
      <w:r>
        <w:rPr>
          <w:rFonts w:hint="eastAsia"/>
        </w:rPr>
        <w:t>1.</w:t>
      </w:r>
      <w:r>
        <w:t xml:space="preserve">1 </w:t>
      </w:r>
      <w:r>
        <w:rPr>
          <w:rFonts w:hint="eastAsia"/>
        </w:rPr>
        <w:t>任务来源</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2022</w:t>
      </w:r>
      <w:r>
        <w:rPr>
          <w:rFonts w:hint="eastAsia" w:ascii="Times New Roman" w:hAnsi="Times New Roman" w:eastAsia="宋体" w:cs="Times New Roman"/>
          <w:sz w:val="24"/>
          <w:szCs w:val="24"/>
          <w:lang w:val="en-US" w:eastAsia="zh-Hans"/>
        </w:rPr>
        <w:t>年</w:t>
      </w:r>
      <w:r>
        <w:rPr>
          <w:rFonts w:hint="default" w:ascii="Times New Roman" w:hAnsi="Times New Roman" w:eastAsia="宋体" w:cs="Times New Roman"/>
          <w:sz w:val="24"/>
          <w:szCs w:val="24"/>
          <w:lang w:eastAsia="zh-Hans"/>
        </w:rPr>
        <w:t>6</w:t>
      </w:r>
      <w:r>
        <w:rPr>
          <w:rFonts w:hint="eastAsia" w:ascii="Times New Roman" w:hAnsi="Times New Roman" w:eastAsia="宋体" w:cs="Times New Roman"/>
          <w:sz w:val="24"/>
          <w:szCs w:val="24"/>
          <w:lang w:val="en-US" w:eastAsia="zh-Hans"/>
        </w:rPr>
        <w:t>月</w:t>
      </w:r>
      <w:r>
        <w:rPr>
          <w:rFonts w:hint="default" w:ascii="Times New Roman" w:hAnsi="Times New Roman" w:eastAsia="宋体" w:cs="Times New Roman"/>
          <w:sz w:val="24"/>
          <w:szCs w:val="24"/>
          <w:lang w:eastAsia="zh-Hans"/>
        </w:rPr>
        <w:t>11</w:t>
      </w:r>
      <w:r>
        <w:rPr>
          <w:rFonts w:hint="eastAsia" w:ascii="Times New Roman" w:hAnsi="Times New Roman" w:eastAsia="宋体" w:cs="Times New Roman"/>
          <w:sz w:val="24"/>
          <w:szCs w:val="24"/>
          <w:lang w:val="en-US" w:eastAsia="zh-Hans"/>
        </w:rPr>
        <w:t>日</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中国建筑材料联合会</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关于下达</w:t>
      </w:r>
      <w:r>
        <w:rPr>
          <w:rFonts w:hint="default" w:ascii="Times New Roman" w:hAnsi="Times New Roman" w:eastAsia="宋体" w:cs="Times New Roman"/>
          <w:sz w:val="24"/>
          <w:szCs w:val="24"/>
          <w:lang w:eastAsia="zh-Hans"/>
        </w:rPr>
        <w:t>2022</w:t>
      </w:r>
      <w:r>
        <w:rPr>
          <w:rFonts w:hint="eastAsia" w:ascii="Times New Roman" w:hAnsi="Times New Roman" w:eastAsia="宋体" w:cs="Times New Roman"/>
          <w:sz w:val="24"/>
          <w:szCs w:val="24"/>
          <w:lang w:val="en-US" w:eastAsia="zh-Hans"/>
        </w:rPr>
        <w:t>年第六批协会标准制定计划的通知</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中建材联标发</w:t>
      </w:r>
      <w:r>
        <w:rPr>
          <w:rFonts w:hint="default" w:ascii="Times New Roman" w:hAnsi="Times New Roman" w:eastAsia="宋体" w:cs="Times New Roman"/>
          <w:sz w:val="24"/>
          <w:szCs w:val="24"/>
          <w:lang w:eastAsia="zh-Hans"/>
        </w:rPr>
        <w:t>[2022]44</w:t>
      </w:r>
      <w:r>
        <w:rPr>
          <w:rFonts w:hint="eastAsia" w:ascii="Times New Roman" w:hAnsi="Times New Roman" w:eastAsia="宋体" w:cs="Times New Roman"/>
          <w:sz w:val="24"/>
          <w:szCs w:val="24"/>
          <w:lang w:val="en-US" w:eastAsia="zh-Hans"/>
        </w:rPr>
        <w:t>号</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建筑材料行业企业环境</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社会和公司治理</w:t>
      </w:r>
      <w:r>
        <w:rPr>
          <w:rFonts w:hint="default" w:ascii="Times New Roman" w:hAnsi="Times New Roman" w:eastAsia="宋体" w:cs="Times New Roman"/>
          <w:sz w:val="24"/>
          <w:szCs w:val="24"/>
          <w:lang w:eastAsia="zh-Hans"/>
        </w:rPr>
        <w:t>（ESG）</w:t>
      </w:r>
      <w:r>
        <w:rPr>
          <w:rFonts w:hint="eastAsia" w:ascii="Times New Roman" w:hAnsi="Times New Roman" w:eastAsia="宋体" w:cs="Times New Roman"/>
          <w:sz w:val="24"/>
          <w:szCs w:val="24"/>
          <w:lang w:val="en-US" w:eastAsia="zh-Hans"/>
        </w:rPr>
        <w:t>指南</w:t>
      </w:r>
      <w:r>
        <w:rPr>
          <w:rFonts w:hint="default" w:ascii="Times New Roman" w:hAnsi="Times New Roman" w:eastAsia="宋体" w:cs="Times New Roman"/>
          <w:sz w:val="24"/>
          <w:szCs w:val="24"/>
          <w:lang w:eastAsia="zh-Hans"/>
        </w:rPr>
        <w:t xml:space="preserve"> </w:t>
      </w:r>
      <w:r>
        <w:rPr>
          <w:rFonts w:hint="eastAsia" w:ascii="Times New Roman" w:hAnsi="Times New Roman" w:eastAsia="宋体" w:cs="Times New Roman"/>
          <w:sz w:val="24"/>
          <w:szCs w:val="24"/>
          <w:lang w:val="en-US" w:eastAsia="zh-Hans"/>
        </w:rPr>
        <w:t>第</w:t>
      </w:r>
      <w:r>
        <w:rPr>
          <w:rFonts w:hint="default" w:ascii="Times New Roman" w:hAnsi="Times New Roman" w:eastAsia="宋体" w:cs="Times New Roman"/>
          <w:sz w:val="24"/>
          <w:szCs w:val="24"/>
          <w:lang w:eastAsia="zh-Hans"/>
        </w:rPr>
        <w:t>1</w:t>
      </w:r>
      <w:r>
        <w:rPr>
          <w:rFonts w:hint="eastAsia" w:ascii="Times New Roman" w:hAnsi="Times New Roman" w:eastAsia="宋体" w:cs="Times New Roman"/>
          <w:sz w:val="24"/>
          <w:szCs w:val="24"/>
          <w:lang w:val="en-US" w:eastAsia="zh-Hans"/>
        </w:rPr>
        <w:t>部分</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信息披露</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计划号</w:t>
      </w:r>
      <w:r>
        <w:rPr>
          <w:rFonts w:hint="default" w:ascii="Times New Roman" w:hAnsi="Times New Roman" w:eastAsia="宋体" w:cs="Times New Roman"/>
          <w:sz w:val="24"/>
          <w:szCs w:val="24"/>
          <w:lang w:eastAsia="zh-Hans"/>
        </w:rPr>
        <w:t>：2022-52-</w:t>
      </w:r>
      <w:r>
        <w:rPr>
          <w:rFonts w:hint="eastAsia" w:ascii="Times New Roman" w:hAnsi="Times New Roman" w:eastAsia="宋体" w:cs="Times New Roman"/>
          <w:sz w:val="24"/>
          <w:szCs w:val="24"/>
          <w:lang w:val="en-US" w:eastAsia="zh-Hans"/>
        </w:rPr>
        <w:t>xbjh</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作为协会标准立项</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标准由中国建筑材料联合会提出并归口</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编制工作由</w:t>
      </w:r>
      <w:r>
        <w:rPr>
          <w:rFonts w:hint="eastAsia" w:cs="Times New Roman"/>
          <w:sz w:val="24"/>
          <w:szCs w:val="24"/>
          <w:lang w:val="en-US" w:eastAsia="zh-CN"/>
        </w:rPr>
        <w:t>中国建筑材料联合会牵头，</w:t>
      </w:r>
      <w:r>
        <w:rPr>
          <w:rFonts w:ascii="Times New Roman" w:hAnsi="Times New Roman" w:eastAsia="宋体" w:cs="Times New Roman"/>
          <w:sz w:val="24"/>
          <w:szCs w:val="24"/>
        </w:rPr>
        <w:t>北京国建联信认证中心有限公司</w:t>
      </w:r>
      <w:r>
        <w:rPr>
          <w:rFonts w:hint="eastAsia" w:ascii="Times New Roman" w:hAnsi="Times New Roman" w:eastAsia="宋体" w:cs="Times New Roman"/>
          <w:sz w:val="24"/>
          <w:szCs w:val="24"/>
        </w:rPr>
        <w:t>等单位</w:t>
      </w:r>
      <w:r>
        <w:rPr>
          <w:rFonts w:hint="eastAsia" w:cs="Times New Roman"/>
          <w:sz w:val="24"/>
          <w:szCs w:val="24"/>
          <w:lang w:val="en-US" w:eastAsia="zh-CN"/>
        </w:rPr>
        <w:t>及企业共同组成标准起草组</w:t>
      </w:r>
      <w:r>
        <w:rPr>
          <w:rFonts w:ascii="Times New Roman" w:hAnsi="Times New Roman" w:eastAsia="宋体" w:cs="Times New Roman"/>
          <w:sz w:val="24"/>
          <w:szCs w:val="24"/>
        </w:rPr>
        <w:t>。</w:t>
      </w:r>
    </w:p>
    <w:p>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ESG是Environmental（环境）、Social（社会）和Governance（治理）的缩写，是一种关注企业环境、社会、公司治理绩效而非传统财务绩效的投资理念和企业评价标准与行动指南，亦是可持续发展理念在投资市场和企业层面的具象投影。企业经营活动和金融行为不应仅追求经济绩效，而应全面考虑对所有利益相关方的影响，包括雇员、客户、社区、供应商和自然环境，承担社会责任，从而实现企业可持续发展。ESG并非全新概念，而是企业社会责任在资本市场的衍生概念，是企业社会责任的重要组成部分，与社会责任一脉相承。随着商业实践的成熟与投资绩效的细化，相对于CSR报告丰富的披露项以及宽泛的内容而言，ESG报告更强调企业经营过程中主要利益相关方参与和重点实质性议题的把握，因而更具有实质性以及准确性。</w:t>
      </w:r>
    </w:p>
    <w:p>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对于ESG实践，ESG信息披露的重要性毋庸置疑。ESG信息披露指E、S、G层面信息的披露，企业在ESG信息披露政策及标准的指导下开展ESG信息披露、输出ESG数据，ESG评级机构根据ESG数据对企业ESG表现进行评价，第三方评价会指导与激励企业进一步完善ESG实践，形成正循环。</w:t>
      </w:r>
    </w:p>
    <w:p>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对于ESG投资，信息披露影响ESG数据质量，数据质量对ESG评价体系构建、ESG评价结果产生影响，从而影响ESG投资决策。首先，ESG信息披露政策及标准是影响ESG数据质量的关键因素。目前不论国外还是国内，针对ESG信息披露已有较多的政策、标准要求等，这些文件对企业发布ESG信息的数据指标、内容、时间等作出相应的规范性要求和约束，完善的ESG信披政策或标准将鼓励企业更多地披露ESG信息，引导企业披露可比的、可靠的、全面的、高质量的ESG数据。其次，ESG评价体系构建第一步是获取ESG数据，良好的数据质量是作出适当ESG评价的基础。根据明晟公司（MSCI）ESG评级框架构建过程，ESG评价体系是构建在ESG数据基础上的，其中企业披露的数据是ESG数据的主要来源。最后，ESG投资在多个层次上对ESG数据有要求。根据PRI定义，投资者进行ESG数据整合和分析分为三个层次：①研究（包括分析和参与）；②证券估值；③投资组合管理、构建和资产配置。ESG数据质量的好坏对以上三个层次均有影响。因此，底层ESG数据质量将影响ESG评价体系构建，继而影响ESG评价结果合理性，最终影响ESG投资决策和ESG生态圈的良好循环。</w:t>
      </w:r>
    </w:p>
    <w:p>
      <w:pPr>
        <w:spacing w:line="360" w:lineRule="auto"/>
        <w:ind w:firstLine="480" w:firstLineChars="200"/>
        <w:rPr>
          <w:rFonts w:hint="eastAsia" w:ascii="Times New Roman" w:hAnsi="Times New Roman" w:eastAsia="宋体" w:cs="Times New Roman"/>
          <w:sz w:val="24"/>
          <w:szCs w:val="24"/>
          <w:lang w:val="en-US"/>
        </w:rPr>
      </w:pPr>
      <w:r>
        <w:rPr>
          <w:rFonts w:hint="default" w:ascii="Times New Roman" w:hAnsi="Times New Roman" w:eastAsia="宋体" w:cs="Times New Roman"/>
          <w:sz w:val="24"/>
          <w:szCs w:val="24"/>
        </w:rPr>
        <w:t>《</w:t>
      </w:r>
      <w:r>
        <w:rPr>
          <w:rFonts w:hint="eastAsia" w:ascii="Times New Roman" w:hAnsi="Times New Roman" w:eastAsia="宋体" w:cs="Times New Roman"/>
          <w:sz w:val="24"/>
          <w:szCs w:val="24"/>
          <w:lang w:val="en-US" w:eastAsia="zh-Hans"/>
        </w:rPr>
        <w:t>建筑材料建筑材料行业企业环境</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社会和公司治理</w:t>
      </w:r>
      <w:r>
        <w:rPr>
          <w:rFonts w:hint="default" w:ascii="Times New Roman" w:hAnsi="Times New Roman" w:eastAsia="宋体" w:cs="Times New Roman"/>
          <w:sz w:val="24"/>
          <w:szCs w:val="24"/>
          <w:lang w:eastAsia="zh-Hans"/>
        </w:rPr>
        <w:t>（ESG）</w:t>
      </w:r>
      <w:r>
        <w:rPr>
          <w:rFonts w:hint="eastAsia" w:ascii="Times New Roman" w:hAnsi="Times New Roman" w:eastAsia="宋体" w:cs="Times New Roman"/>
          <w:sz w:val="24"/>
          <w:szCs w:val="24"/>
          <w:lang w:val="en-US" w:eastAsia="zh-Hans"/>
        </w:rPr>
        <w:t>指南</w:t>
      </w:r>
      <w:r>
        <w:rPr>
          <w:rFonts w:hint="default" w:ascii="Times New Roman" w:hAnsi="Times New Roman" w:eastAsia="宋体" w:cs="Times New Roman"/>
          <w:sz w:val="24"/>
          <w:szCs w:val="24"/>
          <w:lang w:eastAsia="zh-Hans"/>
        </w:rPr>
        <w:t xml:space="preserve"> </w:t>
      </w:r>
      <w:r>
        <w:rPr>
          <w:rFonts w:hint="eastAsia" w:ascii="Times New Roman" w:hAnsi="Times New Roman" w:eastAsia="宋体" w:cs="Times New Roman"/>
          <w:sz w:val="24"/>
          <w:szCs w:val="24"/>
          <w:lang w:val="en-US" w:eastAsia="zh-Hans"/>
        </w:rPr>
        <w:t>第</w:t>
      </w:r>
      <w:r>
        <w:rPr>
          <w:rFonts w:hint="default" w:ascii="Times New Roman" w:hAnsi="Times New Roman" w:eastAsia="宋体" w:cs="Times New Roman"/>
          <w:sz w:val="24"/>
          <w:szCs w:val="24"/>
          <w:lang w:eastAsia="zh-Hans"/>
        </w:rPr>
        <w:t>1</w:t>
      </w:r>
      <w:r>
        <w:rPr>
          <w:rFonts w:hint="eastAsia" w:ascii="Times New Roman" w:hAnsi="Times New Roman" w:eastAsia="宋体" w:cs="Times New Roman"/>
          <w:sz w:val="24"/>
          <w:szCs w:val="24"/>
          <w:lang w:val="en-US" w:eastAsia="zh-Hans"/>
        </w:rPr>
        <w:t>部分</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信息披露</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标准的研究制定</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通过完善建筑材料行业企业</w:t>
      </w:r>
      <w:r>
        <w:rPr>
          <w:rFonts w:hint="default" w:ascii="Times New Roman" w:hAnsi="Times New Roman" w:eastAsia="宋体" w:cs="Times New Roman"/>
          <w:sz w:val="24"/>
          <w:szCs w:val="24"/>
          <w:lang w:eastAsia="zh-Hans"/>
        </w:rPr>
        <w:t>ESG</w:t>
      </w:r>
      <w:r>
        <w:rPr>
          <w:rFonts w:hint="eastAsia" w:ascii="Times New Roman" w:hAnsi="Times New Roman" w:eastAsia="宋体" w:cs="Times New Roman"/>
          <w:sz w:val="24"/>
          <w:szCs w:val="24"/>
          <w:lang w:val="en-US" w:eastAsia="zh-Hans"/>
        </w:rPr>
        <w:t>信息披露标准体系</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进一步强化企业信息披露意识</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规范企业</w:t>
      </w:r>
      <w:r>
        <w:rPr>
          <w:rFonts w:hint="default" w:ascii="Times New Roman" w:hAnsi="Times New Roman" w:eastAsia="宋体" w:cs="Times New Roman"/>
          <w:sz w:val="24"/>
          <w:szCs w:val="24"/>
          <w:lang w:eastAsia="zh-Hans"/>
        </w:rPr>
        <w:t>ESG</w:t>
      </w:r>
      <w:r>
        <w:rPr>
          <w:rFonts w:hint="eastAsia" w:ascii="Times New Roman" w:hAnsi="Times New Roman" w:eastAsia="宋体" w:cs="Times New Roman"/>
          <w:sz w:val="24"/>
          <w:szCs w:val="24"/>
          <w:lang w:val="en-US" w:eastAsia="zh-Hans"/>
        </w:rPr>
        <w:t>信息披露报告</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提升企业</w:t>
      </w:r>
      <w:r>
        <w:rPr>
          <w:rFonts w:hint="default" w:ascii="Times New Roman" w:hAnsi="Times New Roman" w:eastAsia="宋体" w:cs="Times New Roman"/>
          <w:sz w:val="24"/>
          <w:szCs w:val="24"/>
          <w:lang w:eastAsia="zh-Hans"/>
        </w:rPr>
        <w:t>ESG</w:t>
      </w:r>
      <w:r>
        <w:rPr>
          <w:rFonts w:hint="eastAsia" w:ascii="Times New Roman" w:hAnsi="Times New Roman" w:eastAsia="宋体" w:cs="Times New Roman"/>
          <w:sz w:val="24"/>
          <w:szCs w:val="24"/>
          <w:lang w:val="en-US" w:eastAsia="zh-Hans"/>
        </w:rPr>
        <w:t>信息披露能力</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进而提高与改善建材行业企业的披露率与披露质量</w:t>
      </w:r>
      <w:r>
        <w:rPr>
          <w:rFonts w:hint="default" w:ascii="Times New Roman" w:hAnsi="Times New Roman" w:eastAsia="宋体" w:cs="Times New Roman"/>
          <w:sz w:val="24"/>
          <w:szCs w:val="24"/>
          <w:lang w:eastAsia="zh-Hans"/>
        </w:rPr>
        <w:t>。</w:t>
      </w:r>
    </w:p>
    <w:p>
      <w:pPr>
        <w:pStyle w:val="3"/>
        <w:spacing w:line="360" w:lineRule="auto"/>
        <w:rPr>
          <w:rFonts w:hint="eastAsia"/>
          <w:lang w:val="en-US" w:eastAsia="zh-Hans"/>
        </w:rPr>
      </w:pPr>
      <w:r>
        <w:rPr>
          <w:rFonts w:hint="eastAsia"/>
        </w:rPr>
        <w:t xml:space="preserve">1.2 </w:t>
      </w:r>
      <w:r>
        <w:rPr>
          <w:rFonts w:hint="eastAsia"/>
          <w:lang w:val="en-US" w:eastAsia="zh-Hans"/>
        </w:rPr>
        <w:t>行业概况</w:t>
      </w:r>
    </w:p>
    <w:p>
      <w:pPr>
        <w:pStyle w:val="4"/>
        <w:rPr>
          <w:rFonts w:hint="eastAsia"/>
          <w:lang w:eastAsia="zh-Hans"/>
        </w:rPr>
      </w:pPr>
      <w:r>
        <w:rPr>
          <w:rFonts w:hint="default"/>
          <w:lang w:eastAsia="zh-Hans"/>
        </w:rPr>
        <w:t>1</w:t>
      </w:r>
      <w:r>
        <w:rPr>
          <w:rFonts w:hint="eastAsia"/>
          <w:lang w:val="en-US" w:eastAsia="zh-Hans"/>
        </w:rPr>
        <w:t>.</w:t>
      </w:r>
      <w:r>
        <w:rPr>
          <w:rFonts w:hint="default"/>
          <w:lang w:eastAsia="zh-Hans"/>
        </w:rPr>
        <w:t>2</w:t>
      </w:r>
      <w:r>
        <w:rPr>
          <w:rFonts w:hint="eastAsia"/>
          <w:lang w:val="en-US" w:eastAsia="zh-Hans"/>
        </w:rPr>
        <w:t>.</w:t>
      </w:r>
      <w:r>
        <w:rPr>
          <w:rFonts w:hint="default"/>
          <w:lang w:eastAsia="zh-Hans"/>
        </w:rPr>
        <w:t xml:space="preserve">1 </w:t>
      </w:r>
      <w:r>
        <w:rPr>
          <w:rFonts w:hint="eastAsia"/>
          <w:lang w:val="en-US" w:eastAsia="zh-Hans"/>
        </w:rPr>
        <w:t>建材行业</w:t>
      </w:r>
      <w:r>
        <w:rPr>
          <w:rFonts w:hint="default"/>
          <w:lang w:eastAsia="zh-Hans"/>
        </w:rPr>
        <w:t>ESG</w:t>
      </w:r>
      <w:r>
        <w:rPr>
          <w:rFonts w:hint="eastAsia"/>
          <w:lang w:val="en-US" w:eastAsia="zh-Hans"/>
        </w:rPr>
        <w:t>发展现状</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firstLineChars="0"/>
        <w:jc w:val="both"/>
        <w:textAlignment w:val="auto"/>
        <w:outlineLvl w:val="9"/>
        <w:rPr>
          <w:rFonts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我国ESG评级总体起步较晚，影响力还较为欠缺。随着外资评级机构不断扩大对A股上市公司的评级范围，国外评级方法在中国的适用性问题日益凸显，国外ESG评级结果可能偏离中国企业特别是国有企业的真实社会价值（如脱贫攻坚、新农村建设等外资机构不关注，而国内政策较为重视的领域）。因此，构建适用于国内的ESG评级体系，为国内外投资者开展ESG投资提供基准参考，有其必要性。</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firstLineChars="0"/>
        <w:jc w:val="both"/>
        <w:textAlignment w:val="auto"/>
        <w:outlineLvl w:val="9"/>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通常对于资源能源、依赖型行业而言，企业的ESG表现具有先天的劣势，这主要是由于在一般社会环境下，公众通常会把传统能源、资源行业与社会责任表现不佳划等号。比如以ESG投资理念著称的美国规模最大的上市投资管理集团贝莱德就在2021年提出了全面撤出动力煤投资领域的战略；特斯拉CEO马斯克也曾公开质疑特斯拉作为电动车企业的ESG评级却比传统车企还差。由此引申出的疑问就是：对于建材行业尤其像水泥等传统两高行业来说，是不是企业的ESG表现就注定要比新兴产业、高科技企业差？我们知道答案当然是否定的，那么我们又该如何给建材企业“正名”，以什么方式来讲好“建材故事”？这就是ESG体系建设对于建材行业而言最大的意义所在。</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firstLineChars="0"/>
        <w:jc w:val="both"/>
        <w:textAlignment w:val="auto"/>
        <w:outlineLvl w:val="9"/>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石油化工行业与建材行业同样具有高能耗以及高排放的行业特性，早在2020年石化联合会即已经发布了中国石油和化工行业上市公司ESG评级榜单TOP50，正迈入石化行业ESG管理的规范化、程序化的发展道路，对建材行业的ESG披露及评级工作的开展具有借鉴意义。</w:t>
      </w:r>
    </w:p>
    <w:p>
      <w:pPr>
        <w:keepNext w:val="0"/>
        <w:keepLines w:val="0"/>
        <w:widowControl/>
        <w:suppressLineNumbers w:val="0"/>
        <w:ind w:firstLine="420" w:firstLineChars="0"/>
        <w:jc w:val="left"/>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kern w:val="2"/>
          <w:sz w:val="24"/>
          <w:szCs w:val="24"/>
          <w:lang w:val="en-US" w:eastAsia="zh-CN" w:bidi="ar-SA"/>
        </w:rPr>
        <w:t>目前，A股、B股建筑材料行业共 75 只。若将港股、台股上市公司纳入，建材上市公司达到160余家。这些上市建材企业以不同的形式（年报、csr报告、ESG报告）披露了其环境、社会及管治信息。</w:t>
      </w:r>
      <w:r>
        <w:rPr>
          <w:rFonts w:hint="eastAsia" w:ascii="Times New Roman" w:hAnsi="Times New Roman" w:eastAsia="宋体" w:cs="Times New Roman"/>
          <w:sz w:val="24"/>
          <w:szCs w:val="24"/>
          <w:lang w:val="en-US" w:eastAsia="zh-CN"/>
        </w:rPr>
        <w:t>基于妙盈科技的统计数据，2021年第2季度A股建材行业公司的ESG评级表现弱于A股市场整体表现，尤其是ESG表现突出的公司较少，披露信息的不充分、不规范问题仍较为突出。环境绩效表现披露中，投资节能减排技术等关键议题披露不足；社会绩效表现披露中，包含较多政策、措施等叙述性披露，但却未能完整披露关键绩效点的数值等均影响了企业评级结果。</w:t>
      </w:r>
    </w:p>
    <w:p>
      <w:pPr>
        <w:pStyle w:val="4"/>
        <w:rPr>
          <w:rFonts w:hint="eastAsia"/>
          <w:lang w:val="en-US" w:eastAsia="zh-Hans"/>
        </w:rPr>
      </w:pPr>
      <w:r>
        <w:rPr>
          <w:rFonts w:hint="default"/>
          <w:lang w:eastAsia="zh-Hans"/>
        </w:rPr>
        <w:t>1</w:t>
      </w:r>
      <w:r>
        <w:rPr>
          <w:rFonts w:hint="eastAsia"/>
          <w:lang w:val="en-US" w:eastAsia="zh-Hans"/>
        </w:rPr>
        <w:t>.</w:t>
      </w:r>
      <w:r>
        <w:rPr>
          <w:rFonts w:hint="default"/>
          <w:lang w:eastAsia="zh-Hans"/>
        </w:rPr>
        <w:t>2</w:t>
      </w:r>
      <w:r>
        <w:rPr>
          <w:rFonts w:hint="eastAsia"/>
          <w:lang w:val="en-US" w:eastAsia="zh-Hans"/>
        </w:rPr>
        <w:t>.</w:t>
      </w:r>
      <w:r>
        <w:rPr>
          <w:rFonts w:hint="default"/>
          <w:lang w:eastAsia="zh-Hans"/>
        </w:rPr>
        <w:t xml:space="preserve">2 </w:t>
      </w:r>
      <w:r>
        <w:rPr>
          <w:rFonts w:hint="eastAsia"/>
          <w:lang w:val="en-US" w:eastAsia="zh-Hans"/>
        </w:rPr>
        <w:t>需要解决的问题</w:t>
      </w:r>
    </w:p>
    <w:p>
      <w:pPr>
        <w:keepNext w:val="0"/>
        <w:keepLines w:val="0"/>
        <w:widowControl/>
        <w:suppressLineNumbers w:val="0"/>
        <w:ind w:firstLine="420" w:firstLineChars="0"/>
        <w:jc w:val="left"/>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当前，以碳达峰为目标，建材行业正不断深入推进转型升级与高质量发展。可持续发展对于企业来说，很多时候意味着更高的投入，但是却不见得会在经济效益上有更高的回报。如何让企业有动力走可持续发展道路？政策引导是一方面，通过更严格的排放、能耗等约束政策，被动淘汰不可持续的企业，效果可能是立竿见影，但是却无法激发企业的内生动力；树立绿色标杆示范，先进带领“后进”对激发企业自主性有一定作用，但是如何避免“应试化”、“运动式”的示范，让标杆发挥带领行业转型的作用，也是当前所面临的待解难题。</w:t>
      </w:r>
    </w:p>
    <w:p>
      <w:pPr>
        <w:keepNext w:val="0"/>
        <w:keepLines w:val="0"/>
        <w:widowControl/>
        <w:suppressLineNumbers w:val="0"/>
        <w:ind w:firstLine="420" w:firstLineChars="0"/>
        <w:jc w:val="left"/>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ESG评级脱胎于市场，其与绿色投融资之间有着紧密联系；同时，ESG信息披露又带有很强的政策导向性，不同的披露体系将能够有效地反馈主导者的可持续发展理念。因此，利用好ESG这一“工具”，无论是对企业还是对行业而言，均是有利的。对于建材企业而言，在面对ESG披露以及评级的过程中需要解决的问题有以下几个方面：</w:t>
      </w:r>
    </w:p>
    <w:p>
      <w:pPr>
        <w:keepNext w:val="0"/>
        <w:keepLines w:val="0"/>
        <w:widowControl/>
        <w:suppressLineNumbers w:val="0"/>
        <w:ind w:firstLine="420" w:firstLineChars="0"/>
        <w:jc w:val="left"/>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提高自身可持续发展意识。对于很多企业来说，履行社会责任是一件锦上添花的工作，企业公民的价值体现还无法与企业生产经营做到有机结合，这是需要从意识层面加以强化与渗透的，只有意识转变了，可持续发展理念才能真的落地生花；</w:t>
      </w:r>
    </w:p>
    <w:p>
      <w:pPr>
        <w:keepNext w:val="0"/>
        <w:keepLines w:val="0"/>
        <w:widowControl/>
        <w:suppressLineNumbers w:val="0"/>
        <w:ind w:firstLine="420" w:firstLineChars="0"/>
        <w:jc w:val="left"/>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提高信息披露能力。目前已有相当数量的建材企业在加快推进ESG信息披露，而且也取得了显著的效果。然而与国外同类企业相比，我们在披露信息的科学性、准确性以及完整性上还有很多可提升的空间。对于企业自身的可持续发展“故事”，从能讲，到会讲再到讲好，还有很长的路要走。</w:t>
      </w:r>
    </w:p>
    <w:p>
      <w:pPr>
        <w:keepNext w:val="0"/>
        <w:keepLines w:val="0"/>
        <w:widowControl/>
        <w:suppressLineNumbers w:val="0"/>
        <w:ind w:firstLine="420" w:firstLineChars="0"/>
        <w:jc w:val="left"/>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规范ESG体系，反映行业真实水平。正如前文所提到的，ESG披露与评级体系在国内的发展近两年进入快车道，各类评级机构发布的评级指数层出不穷。如何从建材行业出发，让建材企业ESG表现的真实水平得以体现，是近期行业层面亟待解决的核心问题。</w:t>
      </w:r>
    </w:p>
    <w:p>
      <w:pPr>
        <w:pStyle w:val="3"/>
        <w:spacing w:line="360" w:lineRule="auto"/>
        <w:rPr>
          <w:rFonts w:hint="eastAsia"/>
        </w:rPr>
      </w:pPr>
      <w:r>
        <w:rPr>
          <w:rFonts w:hint="eastAsia"/>
        </w:rPr>
        <w:t>1.3工作过程</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202</w:t>
      </w:r>
      <w:r>
        <w:rPr>
          <w:rFonts w:eastAsia="宋体" w:cs="Times New Roman"/>
          <w:sz w:val="24"/>
          <w:szCs w:val="24"/>
        </w:rPr>
        <w:t>2</w:t>
      </w:r>
      <w:r>
        <w:rPr>
          <w:rFonts w:ascii="Times New Roman" w:hAnsi="Times New Roman" w:eastAsia="宋体" w:cs="Times New Roman"/>
          <w:sz w:val="24"/>
          <w:szCs w:val="24"/>
        </w:rPr>
        <w:t>年</w:t>
      </w:r>
      <w:r>
        <w:rPr>
          <w:rFonts w:eastAsia="宋体" w:cs="Times New Roman"/>
          <w:sz w:val="24"/>
          <w:szCs w:val="24"/>
        </w:rPr>
        <w:t>6</w:t>
      </w:r>
      <w:r>
        <w:rPr>
          <w:rFonts w:ascii="Times New Roman" w:hAnsi="Times New Roman" w:eastAsia="宋体" w:cs="Times New Roman"/>
          <w:sz w:val="24"/>
          <w:szCs w:val="24"/>
        </w:rPr>
        <w:t>月，《</w:t>
      </w:r>
      <w:r>
        <w:rPr>
          <w:rFonts w:hint="eastAsia" w:ascii="Times New Roman" w:hAnsi="Times New Roman" w:eastAsia="宋体" w:cs="Times New Roman"/>
          <w:sz w:val="24"/>
          <w:szCs w:val="24"/>
          <w:lang w:val="en-US" w:eastAsia="zh-Hans"/>
        </w:rPr>
        <w:t>建筑材料行业企业环境</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社会和公司治理</w:t>
      </w:r>
      <w:r>
        <w:rPr>
          <w:rFonts w:hint="default" w:ascii="Times New Roman" w:hAnsi="Times New Roman" w:eastAsia="宋体" w:cs="Times New Roman"/>
          <w:sz w:val="24"/>
          <w:szCs w:val="24"/>
          <w:lang w:eastAsia="zh-Hans"/>
        </w:rPr>
        <w:t>（ESG）</w:t>
      </w:r>
      <w:r>
        <w:rPr>
          <w:rFonts w:hint="eastAsia" w:ascii="Times New Roman" w:hAnsi="Times New Roman" w:eastAsia="宋体" w:cs="Times New Roman"/>
          <w:sz w:val="24"/>
          <w:szCs w:val="24"/>
          <w:lang w:val="en-US" w:eastAsia="zh-Hans"/>
        </w:rPr>
        <w:t>指南</w:t>
      </w:r>
      <w:r>
        <w:rPr>
          <w:rFonts w:hint="default" w:ascii="Times New Roman" w:hAnsi="Times New Roman" w:eastAsia="宋体" w:cs="Times New Roman"/>
          <w:sz w:val="24"/>
          <w:szCs w:val="24"/>
          <w:lang w:eastAsia="zh-Hans"/>
        </w:rPr>
        <w:t xml:space="preserve"> </w:t>
      </w:r>
      <w:r>
        <w:rPr>
          <w:rFonts w:hint="eastAsia" w:ascii="Times New Roman" w:hAnsi="Times New Roman" w:eastAsia="宋体" w:cs="Times New Roman"/>
          <w:sz w:val="24"/>
          <w:szCs w:val="24"/>
          <w:lang w:val="en-US" w:eastAsia="zh-Hans"/>
        </w:rPr>
        <w:t>第</w:t>
      </w:r>
      <w:r>
        <w:rPr>
          <w:rFonts w:hint="default" w:ascii="Times New Roman" w:hAnsi="Times New Roman" w:eastAsia="宋体" w:cs="Times New Roman"/>
          <w:sz w:val="24"/>
          <w:szCs w:val="24"/>
          <w:lang w:eastAsia="zh-Hans"/>
        </w:rPr>
        <w:t>1</w:t>
      </w:r>
      <w:r>
        <w:rPr>
          <w:rFonts w:hint="eastAsia" w:ascii="Times New Roman" w:hAnsi="Times New Roman" w:eastAsia="宋体" w:cs="Times New Roman"/>
          <w:sz w:val="24"/>
          <w:szCs w:val="24"/>
          <w:lang w:val="en-US" w:eastAsia="zh-Hans"/>
        </w:rPr>
        <w:t>部分</w:t>
      </w:r>
      <w:r>
        <w:rPr>
          <w:rFonts w:hint="default" w:ascii="Times New Roman" w:hAnsi="Times New Roman" w:eastAsia="宋体" w:cs="Times New Roman"/>
          <w:sz w:val="24"/>
          <w:szCs w:val="24"/>
          <w:lang w:eastAsia="zh-Hans"/>
        </w:rPr>
        <w:t>：</w:t>
      </w:r>
      <w:r>
        <w:rPr>
          <w:rFonts w:hint="eastAsia" w:ascii="Times New Roman" w:hAnsi="Times New Roman" w:eastAsia="宋体" w:cs="Times New Roman"/>
          <w:sz w:val="24"/>
          <w:szCs w:val="24"/>
          <w:lang w:val="en-US" w:eastAsia="zh-Hans"/>
        </w:rPr>
        <w:t>信息披露</w:t>
      </w:r>
      <w:r>
        <w:rPr>
          <w:rFonts w:ascii="Times New Roman" w:hAnsi="Times New Roman" w:eastAsia="宋体" w:cs="Times New Roman"/>
          <w:sz w:val="24"/>
          <w:szCs w:val="24"/>
        </w:rPr>
        <w:t>》作为协会标准立项</w:t>
      </w:r>
      <w:r>
        <w:rPr>
          <w:rFonts w:hint="eastAsia" w:ascii="Times New Roman" w:hAnsi="Times New Roman" w:eastAsia="宋体" w:cs="Times New Roman"/>
          <w:sz w:val="24"/>
          <w:szCs w:val="24"/>
        </w:rPr>
        <w:t>，</w:t>
      </w:r>
      <w:r>
        <w:rPr>
          <w:rFonts w:ascii="Times New Roman" w:hAnsi="Times New Roman" w:eastAsia="宋体" w:cs="Times New Roman"/>
          <w:sz w:val="24"/>
          <w:szCs w:val="24"/>
        </w:rPr>
        <w:t>计划号：202</w:t>
      </w:r>
      <w:r>
        <w:rPr>
          <w:rFonts w:eastAsia="宋体" w:cs="Times New Roman"/>
          <w:sz w:val="24"/>
          <w:szCs w:val="24"/>
        </w:rPr>
        <w:t>2</w:t>
      </w:r>
      <w:r>
        <w:rPr>
          <w:rFonts w:ascii="Times New Roman" w:hAnsi="Times New Roman" w:eastAsia="宋体" w:cs="Times New Roman"/>
          <w:sz w:val="24"/>
          <w:szCs w:val="24"/>
        </w:rPr>
        <w:t>-</w:t>
      </w:r>
      <w:r>
        <w:rPr>
          <w:rFonts w:eastAsia="宋体" w:cs="Times New Roman"/>
          <w:sz w:val="24"/>
          <w:szCs w:val="24"/>
        </w:rPr>
        <w:t>52</w:t>
      </w:r>
      <w:r>
        <w:rPr>
          <w:rFonts w:ascii="Times New Roman" w:hAnsi="Times New Roman" w:eastAsia="宋体" w:cs="Times New Roman"/>
          <w:sz w:val="24"/>
          <w:szCs w:val="24"/>
        </w:rPr>
        <w:t>-xbjh</w:t>
      </w:r>
      <w:r>
        <w:rPr>
          <w:rFonts w:hint="eastAsia" w:ascii="Times New Roman" w:hAnsi="Times New Roman" w:eastAsia="宋体" w:cs="Times New Roman"/>
          <w:sz w:val="24"/>
          <w:szCs w:val="24"/>
        </w:rPr>
        <w:t>。</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202</w:t>
      </w:r>
      <w:r>
        <w:rPr>
          <w:rFonts w:eastAsia="宋体" w:cs="Times New Roman"/>
          <w:sz w:val="24"/>
          <w:szCs w:val="24"/>
        </w:rPr>
        <w:t>2</w:t>
      </w:r>
      <w:r>
        <w:rPr>
          <w:rFonts w:hint="eastAsia" w:ascii="Times New Roman" w:hAnsi="Times New Roman" w:eastAsia="宋体" w:cs="Times New Roman"/>
          <w:sz w:val="24"/>
          <w:szCs w:val="24"/>
        </w:rPr>
        <w:t>年</w:t>
      </w:r>
      <w:r>
        <w:rPr>
          <w:rFonts w:hint="eastAsia" w:cs="Times New Roman"/>
          <w:sz w:val="24"/>
          <w:szCs w:val="24"/>
          <w:lang w:val="en-US" w:eastAsia="zh-CN"/>
        </w:rPr>
        <w:t>8</w:t>
      </w:r>
      <w:r>
        <w:rPr>
          <w:rFonts w:hint="eastAsia" w:ascii="Times New Roman" w:hAnsi="Times New Roman" w:eastAsia="宋体" w:cs="Times New Roman"/>
          <w:sz w:val="24"/>
          <w:szCs w:val="24"/>
        </w:rPr>
        <w:t>月，标准编制组成立并召开标准启动会，会议讨论确定了</w:t>
      </w:r>
      <w:r>
        <w:rPr>
          <w:rFonts w:ascii="Times New Roman" w:hAnsi="Times New Roman" w:eastAsia="宋体" w:cs="Times New Roman"/>
          <w:sz w:val="24"/>
          <w:szCs w:val="24"/>
        </w:rPr>
        <w:t>标准</w:t>
      </w:r>
      <w:r>
        <w:rPr>
          <w:rFonts w:hint="eastAsia" w:ascii="Times New Roman" w:hAnsi="Times New Roman" w:eastAsia="宋体" w:cs="Times New Roman"/>
          <w:sz w:val="24"/>
          <w:szCs w:val="24"/>
        </w:rPr>
        <w:t>框架</w:t>
      </w:r>
      <w:r>
        <w:rPr>
          <w:rFonts w:ascii="Times New Roman" w:hAnsi="Times New Roman" w:eastAsia="宋体" w:cs="Times New Roman"/>
          <w:sz w:val="24"/>
          <w:szCs w:val="24"/>
        </w:rPr>
        <w:t>及编制思路</w:t>
      </w:r>
      <w:r>
        <w:rPr>
          <w:rFonts w:hint="eastAsia" w:ascii="Times New Roman" w:hAnsi="Times New Roman" w:eastAsia="宋体" w:cs="Times New Roman"/>
          <w:sz w:val="24"/>
          <w:szCs w:val="24"/>
        </w:rPr>
        <w:t>。</w:t>
      </w:r>
    </w:p>
    <w:p>
      <w:pPr>
        <w:spacing w:line="360" w:lineRule="auto"/>
        <w:ind w:firstLine="480" w:firstLineChars="200"/>
        <w:rPr>
          <w:rFonts w:hint="eastAsia" w:ascii="Times New Roman" w:hAnsi="Times New Roman" w:eastAsia="宋体" w:cs="Times New Roman"/>
          <w:sz w:val="24"/>
          <w:szCs w:val="24"/>
        </w:rPr>
      </w:pPr>
      <w:r>
        <w:rPr>
          <w:rFonts w:ascii="Times New Roman" w:hAnsi="Times New Roman" w:eastAsia="宋体" w:cs="Times New Roman"/>
          <w:sz w:val="24"/>
          <w:szCs w:val="24"/>
        </w:rPr>
        <w:t>202</w:t>
      </w:r>
      <w:r>
        <w:rPr>
          <w:rFonts w:eastAsia="宋体" w:cs="Times New Roman"/>
          <w:sz w:val="24"/>
          <w:szCs w:val="24"/>
        </w:rPr>
        <w:t>2</w:t>
      </w:r>
      <w:r>
        <w:rPr>
          <w:rFonts w:hint="eastAsia" w:ascii="Times New Roman" w:hAnsi="Times New Roman" w:eastAsia="宋体" w:cs="Times New Roman"/>
          <w:sz w:val="24"/>
          <w:szCs w:val="24"/>
        </w:rPr>
        <w:t>年</w:t>
      </w:r>
      <w:r>
        <w:rPr>
          <w:rFonts w:hint="default" w:eastAsia="宋体" w:cs="Times New Roman"/>
          <w:sz w:val="24"/>
          <w:szCs w:val="24"/>
        </w:rPr>
        <w:t>8</w:t>
      </w:r>
      <w:r>
        <w:rPr>
          <w:rFonts w:hint="eastAsia" w:ascii="Times New Roman" w:hAnsi="Times New Roman" w:eastAsia="宋体" w:cs="Times New Roman"/>
          <w:sz w:val="24"/>
          <w:szCs w:val="24"/>
        </w:rPr>
        <w:t>月-</w:t>
      </w:r>
      <w:r>
        <w:rPr>
          <w:rFonts w:hint="eastAsia" w:cs="Times New Roman"/>
          <w:sz w:val="24"/>
          <w:szCs w:val="24"/>
          <w:lang w:val="en-US" w:eastAsia="zh-CN"/>
        </w:rPr>
        <w:t>2023年4</w:t>
      </w:r>
      <w:r>
        <w:rPr>
          <w:rFonts w:hint="eastAsia" w:ascii="Times New Roman" w:hAnsi="Times New Roman" w:eastAsia="宋体" w:cs="Times New Roman"/>
          <w:sz w:val="24"/>
          <w:szCs w:val="24"/>
        </w:rPr>
        <w:t>月，</w:t>
      </w:r>
      <w:r>
        <w:rPr>
          <w:rFonts w:hint="eastAsia" w:eastAsia="宋体" w:cs="Times New Roman"/>
          <w:sz w:val="24"/>
          <w:szCs w:val="24"/>
          <w:lang w:val="en-US" w:eastAsia="zh-Hans"/>
        </w:rPr>
        <w:t>对国内外主流</w:t>
      </w:r>
      <w:r>
        <w:rPr>
          <w:rFonts w:hint="default" w:eastAsia="宋体" w:cs="Times New Roman"/>
          <w:sz w:val="24"/>
          <w:szCs w:val="24"/>
          <w:lang w:eastAsia="zh-Hans"/>
        </w:rPr>
        <w:t>ESG</w:t>
      </w:r>
      <w:r>
        <w:rPr>
          <w:rFonts w:hint="eastAsia" w:eastAsia="宋体" w:cs="Times New Roman"/>
          <w:sz w:val="24"/>
          <w:szCs w:val="24"/>
          <w:lang w:val="en-US" w:eastAsia="zh-Hans"/>
        </w:rPr>
        <w:t>披露体系进行调研</w:t>
      </w:r>
      <w:r>
        <w:rPr>
          <w:rFonts w:hint="default" w:eastAsia="宋体" w:cs="Times New Roman"/>
          <w:sz w:val="24"/>
          <w:szCs w:val="24"/>
          <w:lang w:eastAsia="zh-Hans"/>
        </w:rPr>
        <w:t>，</w:t>
      </w:r>
      <w:r>
        <w:rPr>
          <w:rFonts w:hint="eastAsia" w:eastAsia="宋体" w:cs="Times New Roman"/>
          <w:sz w:val="24"/>
          <w:szCs w:val="24"/>
          <w:lang w:val="en-US" w:eastAsia="zh-Hans"/>
        </w:rPr>
        <w:t>形成标准草案</w:t>
      </w:r>
      <w:r>
        <w:rPr>
          <w:rFonts w:hint="default" w:eastAsia="宋体" w:cs="Times New Roman"/>
          <w:sz w:val="24"/>
          <w:szCs w:val="24"/>
          <w:lang w:eastAsia="zh-Hans"/>
        </w:rPr>
        <w:t>，</w:t>
      </w:r>
      <w:r>
        <w:rPr>
          <w:rFonts w:hint="eastAsia" w:eastAsia="宋体" w:cs="Times New Roman"/>
          <w:sz w:val="24"/>
          <w:szCs w:val="24"/>
          <w:lang w:val="en-US" w:eastAsia="zh-Hans"/>
        </w:rPr>
        <w:t>完善指标体系</w:t>
      </w:r>
      <w:r>
        <w:rPr>
          <w:rFonts w:hint="eastAsia" w:ascii="Times New Roman" w:hAnsi="Times New Roman" w:eastAsia="宋体" w:cs="Times New Roman"/>
          <w:sz w:val="24"/>
          <w:szCs w:val="24"/>
        </w:rPr>
        <w:t>。</w:t>
      </w:r>
    </w:p>
    <w:p>
      <w:pPr>
        <w:spacing w:line="360" w:lineRule="auto"/>
        <w:ind w:firstLine="480" w:firstLineChars="200"/>
        <w:rPr>
          <w:rFonts w:hint="default" w:ascii="Times New Roman" w:hAnsi="Times New Roman" w:eastAsia="宋体" w:cs="Times New Roman"/>
          <w:sz w:val="24"/>
          <w:szCs w:val="24"/>
          <w:lang w:val="en-US" w:eastAsia="zh-CN"/>
        </w:rPr>
      </w:pPr>
      <w:r>
        <w:rPr>
          <w:rFonts w:hint="eastAsia" w:cs="Times New Roman"/>
          <w:sz w:val="24"/>
          <w:szCs w:val="24"/>
          <w:lang w:val="en-US" w:eastAsia="zh-CN"/>
        </w:rPr>
        <w:t>2023年4月-2023年11月，对建筑材料行业A股、港股和部分台股120余家上市企业的ESG信息披露情况进行深入分析调研，形成建筑材料行业ESG发展研究报告，并基于企业实际披露情况对指标体系进行多轮修改与验证。</w:t>
      </w:r>
    </w:p>
    <w:p>
      <w:pPr>
        <w:spacing w:line="360" w:lineRule="auto"/>
        <w:ind w:firstLine="480" w:firstLineChars="200"/>
        <w:rPr>
          <w:rFonts w:hint="eastAsia" w:ascii="Times New Roman" w:hAnsi="Times New Roman" w:eastAsia="宋体" w:cs="Times New Roman"/>
          <w:sz w:val="24"/>
          <w:szCs w:val="24"/>
        </w:rPr>
      </w:pPr>
      <w:r>
        <w:rPr>
          <w:rFonts w:ascii="Times New Roman" w:hAnsi="Times New Roman" w:eastAsia="宋体" w:cs="Times New Roman"/>
          <w:kern w:val="0"/>
          <w:sz w:val="24"/>
          <w:szCs w:val="24"/>
        </w:rPr>
        <w:t>202</w:t>
      </w:r>
      <w:r>
        <w:rPr>
          <w:rFonts w:hint="eastAsia" w:cs="Times New Roman"/>
          <w:kern w:val="0"/>
          <w:sz w:val="24"/>
          <w:szCs w:val="24"/>
          <w:lang w:val="en-US" w:eastAsia="zh-CN"/>
        </w:rPr>
        <w:t>3</w:t>
      </w:r>
      <w:r>
        <w:rPr>
          <w:rFonts w:ascii="Times New Roman" w:hAnsi="Times New Roman" w:eastAsia="宋体" w:cs="Times New Roman"/>
          <w:kern w:val="0"/>
          <w:sz w:val="24"/>
          <w:szCs w:val="24"/>
        </w:rPr>
        <w:t>年</w:t>
      </w:r>
      <w:r>
        <w:rPr>
          <w:rFonts w:hint="eastAsia" w:cs="Times New Roman"/>
          <w:kern w:val="0"/>
          <w:sz w:val="24"/>
          <w:szCs w:val="24"/>
          <w:lang w:val="en-US" w:eastAsia="zh-CN"/>
        </w:rPr>
        <w:t>11</w:t>
      </w:r>
      <w:r>
        <w:rPr>
          <w:rFonts w:ascii="Times New Roman" w:hAnsi="Times New Roman" w:eastAsia="宋体" w:cs="Times New Roman"/>
          <w:kern w:val="0"/>
          <w:sz w:val="24"/>
          <w:szCs w:val="24"/>
        </w:rPr>
        <w:t>月，</w:t>
      </w:r>
      <w:r>
        <w:rPr>
          <w:rFonts w:hint="eastAsia" w:ascii="Times New Roman" w:hAnsi="Times New Roman" w:eastAsia="宋体" w:cs="Times New Roman"/>
          <w:sz w:val="24"/>
          <w:szCs w:val="24"/>
        </w:rPr>
        <w:t>标准编制组召开</w:t>
      </w:r>
      <w:r>
        <w:rPr>
          <w:rFonts w:hint="eastAsia" w:cs="Times New Roman"/>
          <w:sz w:val="24"/>
          <w:szCs w:val="24"/>
          <w:lang w:val="en-US" w:eastAsia="zh-CN"/>
        </w:rPr>
        <w:t>专家验证</w:t>
      </w:r>
      <w:r>
        <w:rPr>
          <w:rFonts w:hint="eastAsia" w:ascii="Times New Roman" w:hAnsi="Times New Roman" w:eastAsia="宋体" w:cs="Times New Roman"/>
          <w:sz w:val="24"/>
          <w:szCs w:val="24"/>
        </w:rPr>
        <w:t>会，就</w:t>
      </w:r>
      <w:r>
        <w:rPr>
          <w:rFonts w:hint="eastAsia" w:eastAsia="宋体" w:cs="Times New Roman"/>
          <w:sz w:val="24"/>
          <w:szCs w:val="24"/>
          <w:lang w:val="en-US" w:eastAsia="zh-Hans"/>
        </w:rPr>
        <w:t>建材行业企业</w:t>
      </w:r>
      <w:r>
        <w:rPr>
          <w:rFonts w:hint="default" w:eastAsia="宋体" w:cs="Times New Roman"/>
          <w:sz w:val="24"/>
          <w:szCs w:val="24"/>
          <w:lang w:eastAsia="zh-Hans"/>
        </w:rPr>
        <w:t>ESG</w:t>
      </w:r>
      <w:r>
        <w:rPr>
          <w:rFonts w:hint="eastAsia" w:eastAsia="宋体" w:cs="Times New Roman"/>
          <w:sz w:val="24"/>
          <w:szCs w:val="24"/>
          <w:lang w:val="en-US" w:eastAsia="zh-Hans"/>
        </w:rPr>
        <w:t>信息披露过程</w:t>
      </w:r>
      <w:r>
        <w:rPr>
          <w:rFonts w:ascii="Times New Roman" w:hAnsi="Times New Roman" w:eastAsia="宋体" w:cs="Times New Roman"/>
          <w:sz w:val="24"/>
          <w:szCs w:val="24"/>
        </w:rPr>
        <w:t>中</w:t>
      </w:r>
      <w:r>
        <w:rPr>
          <w:rFonts w:hint="eastAsia" w:ascii="Times New Roman" w:hAnsi="Times New Roman" w:eastAsia="宋体" w:cs="Times New Roman"/>
          <w:sz w:val="24"/>
          <w:szCs w:val="24"/>
        </w:rPr>
        <w:t>的</w:t>
      </w:r>
      <w:r>
        <w:rPr>
          <w:rFonts w:ascii="Times New Roman" w:hAnsi="Times New Roman" w:eastAsia="宋体" w:cs="Times New Roman"/>
          <w:sz w:val="24"/>
          <w:szCs w:val="24"/>
        </w:rPr>
        <w:t>要点</w:t>
      </w:r>
      <w:r>
        <w:rPr>
          <w:rFonts w:hint="eastAsia" w:cs="Times New Roman"/>
          <w:sz w:val="24"/>
          <w:szCs w:val="24"/>
          <w:lang w:val="en-US" w:eastAsia="zh-CN"/>
        </w:rPr>
        <w:t>以及指标体系</w:t>
      </w:r>
      <w:r>
        <w:rPr>
          <w:rFonts w:hint="eastAsia" w:ascii="Times New Roman" w:hAnsi="Times New Roman" w:eastAsia="宋体" w:cs="Times New Roman"/>
          <w:sz w:val="24"/>
          <w:szCs w:val="24"/>
        </w:rPr>
        <w:t>展开</w:t>
      </w:r>
      <w:r>
        <w:rPr>
          <w:rFonts w:ascii="Times New Roman" w:hAnsi="Times New Roman" w:eastAsia="宋体" w:cs="Times New Roman"/>
          <w:sz w:val="24"/>
          <w:szCs w:val="24"/>
        </w:rPr>
        <w:t>讨论，</w:t>
      </w:r>
      <w:r>
        <w:rPr>
          <w:rFonts w:hint="eastAsia" w:cs="Times New Roman"/>
          <w:sz w:val="24"/>
          <w:szCs w:val="24"/>
          <w:lang w:val="en-US" w:eastAsia="zh-CN"/>
        </w:rPr>
        <w:t>并提出修改意见</w:t>
      </w:r>
      <w:r>
        <w:rPr>
          <w:rFonts w:hint="eastAsia" w:ascii="Times New Roman" w:hAnsi="Times New Roman" w:eastAsia="宋体" w:cs="Times New Roman"/>
          <w:sz w:val="24"/>
          <w:szCs w:val="24"/>
        </w:rPr>
        <w:t>。</w:t>
      </w:r>
    </w:p>
    <w:p>
      <w:pPr>
        <w:spacing w:line="360" w:lineRule="auto"/>
        <w:ind w:firstLine="480" w:firstLineChars="200"/>
        <w:rPr>
          <w:rFonts w:hint="default" w:ascii="Times New Roman" w:hAnsi="Times New Roman" w:eastAsia="宋体" w:cs="Times New Roman"/>
          <w:sz w:val="24"/>
          <w:szCs w:val="24"/>
          <w:lang w:val="en-US" w:eastAsia="zh-CN"/>
        </w:rPr>
      </w:pPr>
      <w:r>
        <w:rPr>
          <w:rFonts w:hint="eastAsia" w:cs="Times New Roman"/>
          <w:sz w:val="24"/>
          <w:szCs w:val="24"/>
          <w:lang w:val="en-US" w:eastAsia="zh-CN"/>
        </w:rPr>
        <w:t>2023年12月-2024年1月，就专家提出的意见进行修改，并形成征求意见稿。</w:t>
      </w:r>
    </w:p>
    <w:p>
      <w:pPr>
        <w:pStyle w:val="2"/>
        <w:spacing w:line="360" w:lineRule="auto"/>
      </w:pPr>
      <w:r>
        <w:rPr>
          <w:rFonts w:hint="eastAsia"/>
        </w:rPr>
        <w:t>2、标准编制原则和主要内容</w:t>
      </w:r>
    </w:p>
    <w:p>
      <w:pPr>
        <w:pStyle w:val="3"/>
        <w:spacing w:line="360" w:lineRule="auto"/>
        <w:rPr>
          <w:rFonts w:hint="eastAsia"/>
        </w:rPr>
      </w:pPr>
      <w:r>
        <w:rPr>
          <w:rFonts w:hint="eastAsia"/>
        </w:rPr>
        <w:t>2.</w:t>
      </w:r>
      <w:r>
        <w:rPr>
          <w:rFonts w:hint="default"/>
        </w:rPr>
        <w:t>1</w:t>
      </w:r>
      <w:r>
        <w:rPr>
          <w:rFonts w:hint="eastAsia"/>
        </w:rPr>
        <w:t xml:space="preserve"> 标准框架</w:t>
      </w:r>
    </w:p>
    <w:p>
      <w:pPr>
        <w:spacing w:line="360" w:lineRule="auto"/>
        <w:ind w:firstLine="480" w:firstLineChars="200"/>
        <w:rPr>
          <w:rFonts w:ascii="Times New Roman" w:hAnsi="Times New Roman" w:eastAsia="宋体" w:cs="Times New Roman"/>
          <w:sz w:val="24"/>
          <w:szCs w:val="24"/>
        </w:rPr>
      </w:pPr>
      <w:bookmarkStart w:id="0" w:name="_Hlk48569527"/>
      <w:r>
        <w:rPr>
          <w:rFonts w:ascii="Times New Roman" w:hAnsi="Times New Roman" w:eastAsia="宋体" w:cs="Times New Roman"/>
          <w:sz w:val="24"/>
          <w:szCs w:val="24"/>
        </w:rPr>
        <w:t>标准正文内容包括：范围、规范性引用文件、术语和定义、</w:t>
      </w:r>
      <w:r>
        <w:rPr>
          <w:rFonts w:hint="eastAsia" w:cs="Times New Roman"/>
          <w:sz w:val="24"/>
          <w:szCs w:val="24"/>
          <w:lang w:val="en-US" w:eastAsia="zh-CN"/>
        </w:rPr>
        <w:t>披露原则</w:t>
      </w:r>
      <w:r>
        <w:rPr>
          <w:rFonts w:ascii="Times New Roman" w:hAnsi="Times New Roman" w:eastAsia="宋体" w:cs="Times New Roman"/>
          <w:sz w:val="24"/>
          <w:szCs w:val="24"/>
        </w:rPr>
        <w:t>、</w:t>
      </w:r>
      <w:r>
        <w:rPr>
          <w:rFonts w:hint="eastAsia" w:cs="Times New Roman"/>
          <w:sz w:val="24"/>
          <w:szCs w:val="24"/>
          <w:lang w:val="en-US" w:eastAsia="zh-CN"/>
        </w:rPr>
        <w:t>披露</w:t>
      </w:r>
      <w:r>
        <w:rPr>
          <w:rFonts w:hint="eastAsia" w:eastAsia="宋体" w:cs="Times New Roman"/>
          <w:sz w:val="24"/>
          <w:szCs w:val="24"/>
          <w:lang w:val="en-US" w:eastAsia="zh-Hans"/>
        </w:rPr>
        <w:t>要求</w:t>
      </w:r>
      <w:r>
        <w:rPr>
          <w:rFonts w:hint="default" w:eastAsia="宋体" w:cs="Times New Roman"/>
          <w:sz w:val="24"/>
          <w:szCs w:val="24"/>
          <w:lang w:eastAsia="zh-Hans"/>
        </w:rPr>
        <w:t>、</w:t>
      </w:r>
      <w:r>
        <w:rPr>
          <w:rFonts w:hint="eastAsia" w:cs="Times New Roman"/>
          <w:sz w:val="24"/>
          <w:szCs w:val="24"/>
          <w:lang w:val="en-US" w:eastAsia="zh-CN"/>
        </w:rPr>
        <w:t>环境</w:t>
      </w:r>
      <w:r>
        <w:rPr>
          <w:rFonts w:hint="default" w:eastAsia="宋体" w:cs="Times New Roman"/>
          <w:sz w:val="24"/>
          <w:szCs w:val="24"/>
          <w:lang w:eastAsia="zh-Hans"/>
        </w:rPr>
        <w:t>、</w:t>
      </w:r>
      <w:r>
        <w:rPr>
          <w:rFonts w:hint="eastAsia" w:cs="Times New Roman"/>
          <w:sz w:val="24"/>
          <w:szCs w:val="24"/>
          <w:lang w:val="en-US" w:eastAsia="zh-CN"/>
        </w:rPr>
        <w:t>社会、公司治理</w:t>
      </w:r>
      <w:r>
        <w:rPr>
          <w:rFonts w:ascii="Times New Roman" w:hAnsi="Times New Roman" w:eastAsia="宋体" w:cs="Times New Roman"/>
          <w:sz w:val="24"/>
          <w:szCs w:val="24"/>
        </w:rPr>
        <w:t>共</w:t>
      </w:r>
      <w:r>
        <w:rPr>
          <w:rFonts w:eastAsia="宋体" w:cs="Times New Roman"/>
          <w:sz w:val="24"/>
          <w:szCs w:val="24"/>
        </w:rPr>
        <w:t>7</w:t>
      </w:r>
      <w:r>
        <w:rPr>
          <w:rFonts w:ascii="Times New Roman" w:hAnsi="Times New Roman" w:eastAsia="宋体" w:cs="Times New Roman"/>
          <w:sz w:val="24"/>
          <w:szCs w:val="24"/>
        </w:rPr>
        <w:t>个章节，主要阐述</w:t>
      </w:r>
      <w:r>
        <w:rPr>
          <w:rFonts w:hint="eastAsia" w:eastAsia="宋体" w:cs="Times New Roman"/>
          <w:sz w:val="24"/>
          <w:szCs w:val="24"/>
          <w:lang w:val="en-US" w:eastAsia="zh-Hans"/>
        </w:rPr>
        <w:t>建筑材料行业企业</w:t>
      </w:r>
      <w:r>
        <w:rPr>
          <w:rFonts w:hint="default" w:eastAsia="宋体" w:cs="Times New Roman"/>
          <w:sz w:val="24"/>
          <w:szCs w:val="24"/>
          <w:lang w:eastAsia="zh-Hans"/>
        </w:rPr>
        <w:t>ESG</w:t>
      </w:r>
      <w:r>
        <w:rPr>
          <w:rFonts w:hint="eastAsia" w:eastAsia="宋体" w:cs="Times New Roman"/>
          <w:sz w:val="24"/>
          <w:szCs w:val="24"/>
          <w:lang w:val="en-US" w:eastAsia="zh-Hans"/>
        </w:rPr>
        <w:t>信息披露</w:t>
      </w:r>
      <w:r>
        <w:rPr>
          <w:rFonts w:ascii="Times New Roman" w:hAnsi="Times New Roman" w:eastAsia="宋体" w:cs="Times New Roman"/>
          <w:sz w:val="24"/>
          <w:szCs w:val="24"/>
        </w:rPr>
        <w:t>的</w:t>
      </w:r>
      <w:r>
        <w:rPr>
          <w:rFonts w:hint="eastAsia" w:eastAsia="宋体" w:cs="Times New Roman"/>
          <w:sz w:val="24"/>
          <w:szCs w:val="24"/>
          <w:lang w:val="en-US" w:eastAsia="zh-Hans"/>
        </w:rPr>
        <w:t>基本原则</w:t>
      </w:r>
      <w:r>
        <w:rPr>
          <w:rFonts w:hint="default" w:eastAsia="宋体" w:cs="Times New Roman"/>
          <w:sz w:val="24"/>
          <w:szCs w:val="24"/>
          <w:lang w:eastAsia="zh-Hans"/>
        </w:rPr>
        <w:t>、</w:t>
      </w:r>
      <w:r>
        <w:rPr>
          <w:rFonts w:hint="eastAsia" w:cs="Times New Roman"/>
          <w:sz w:val="24"/>
          <w:szCs w:val="24"/>
          <w:lang w:val="en-US" w:eastAsia="zh-CN"/>
        </w:rPr>
        <w:t>披露要求与</w:t>
      </w:r>
      <w:r>
        <w:rPr>
          <w:rFonts w:ascii="Times New Roman" w:hAnsi="Times New Roman" w:eastAsia="宋体" w:cs="Times New Roman"/>
          <w:sz w:val="24"/>
          <w:szCs w:val="24"/>
        </w:rPr>
        <w:t>指标体系架构。</w:t>
      </w:r>
      <w:bookmarkEnd w:id="0"/>
    </w:p>
    <w:p>
      <w:pPr>
        <w:pStyle w:val="3"/>
        <w:spacing w:line="360" w:lineRule="auto"/>
        <w:rPr>
          <w:rFonts w:hint="eastAsia"/>
        </w:rPr>
      </w:pPr>
      <w:r>
        <w:rPr>
          <w:rFonts w:hint="eastAsia"/>
        </w:rPr>
        <w:t>2.2 适用范围</w:t>
      </w:r>
    </w:p>
    <w:p>
      <w:pPr>
        <w:spacing w:line="360" w:lineRule="auto"/>
        <w:ind w:firstLine="480" w:firstLineChars="200"/>
        <w:jc w:val="left"/>
        <w:rPr>
          <w:rFonts w:ascii="宋体" w:hAnsi="宋体" w:eastAsia="宋体"/>
          <w:sz w:val="24"/>
          <w:szCs w:val="24"/>
        </w:rPr>
      </w:pPr>
      <w:bookmarkStart w:id="1" w:name="_Hlk48569589"/>
      <w:r>
        <w:rPr>
          <w:rFonts w:hint="eastAsia" w:ascii="宋体" w:hAnsi="宋体"/>
          <w:sz w:val="24"/>
          <w:szCs w:val="24"/>
          <w:lang w:eastAsia="zh-CN"/>
        </w:rPr>
        <w:t>本文件</w:t>
      </w:r>
      <w:r>
        <w:rPr>
          <w:rFonts w:hint="eastAsia" w:ascii="宋体" w:hAnsi="宋体" w:eastAsia="宋体"/>
          <w:sz w:val="24"/>
          <w:szCs w:val="24"/>
        </w:rPr>
        <w:t>适用建筑材料行业企业的环境、社会和公司治理（ESG）信息披露。</w:t>
      </w:r>
      <w:bookmarkEnd w:id="1"/>
    </w:p>
    <w:p>
      <w:pPr>
        <w:pStyle w:val="3"/>
        <w:spacing w:line="360" w:lineRule="auto"/>
        <w:rPr>
          <w:rFonts w:hint="eastAsia"/>
        </w:rPr>
      </w:pPr>
      <w:r>
        <w:rPr>
          <w:rFonts w:hint="eastAsia"/>
        </w:rPr>
        <w:t>2.3 规范性引用文件</w:t>
      </w:r>
    </w:p>
    <w:p>
      <w:pPr>
        <w:ind w:firstLine="480" w:firstLineChars="200"/>
        <w:rPr>
          <w:rFonts w:hint="eastAsia" w:eastAsia="宋体" w:cs="Times New Roman"/>
          <w:bCs/>
          <w:kern w:val="0"/>
          <w:lang w:eastAsia="zh-CN"/>
        </w:rPr>
      </w:pPr>
      <w:r>
        <w:rPr>
          <w:rFonts w:hint="eastAsia" w:ascii="宋体" w:hAnsi="宋体" w:eastAsia="宋体"/>
          <w:sz w:val="24"/>
          <w:szCs w:val="24"/>
        </w:rPr>
        <w:t>详细列出本文件使用时所涉及的规范性文件。凡是注日期的引用文件，仅注日期的版本适用于本文件。凡是不注日期的引用文件，其最新版本（包括所有的修改单）适用于本文件。本文件的主要规范性引用文件有</w:t>
      </w:r>
      <w:r>
        <w:rPr>
          <w:rFonts w:hint="eastAsia" w:cs="Times New Roman"/>
          <w:bCs/>
          <w:kern w:val="0"/>
        </w:rPr>
        <w:t>GB/T 19001</w:t>
      </w:r>
      <w:r>
        <w:rPr>
          <w:rFonts w:hint="eastAsia" w:cs="Times New Roman"/>
          <w:bCs/>
          <w:kern w:val="0"/>
          <w:lang w:eastAsia="zh-CN"/>
        </w:rPr>
        <w:t>《</w:t>
      </w:r>
      <w:r>
        <w:rPr>
          <w:rFonts w:hint="eastAsia" w:cs="Times New Roman"/>
          <w:bCs/>
          <w:kern w:val="0"/>
        </w:rPr>
        <w:t>质量管理体系</w:t>
      </w:r>
      <w:r>
        <w:rPr>
          <w:rFonts w:hint="eastAsia" w:cs="Times New Roman"/>
          <w:bCs/>
          <w:kern w:val="0"/>
          <w:lang w:val="en-US" w:eastAsia="zh-CN"/>
        </w:rPr>
        <w:t xml:space="preserve"> </w:t>
      </w:r>
      <w:r>
        <w:rPr>
          <w:rFonts w:cs="Times New Roman"/>
          <w:bCs/>
          <w:kern w:val="0"/>
        </w:rPr>
        <w:t>要求</w:t>
      </w:r>
      <w:r>
        <w:rPr>
          <w:rFonts w:hint="eastAsia" w:cs="Times New Roman"/>
          <w:bCs/>
          <w:kern w:val="0"/>
          <w:lang w:eastAsia="zh-CN"/>
        </w:rPr>
        <w:t>》、</w:t>
      </w:r>
      <w:r>
        <w:rPr>
          <w:rFonts w:hint="eastAsia" w:cs="Times New Roman"/>
          <w:bCs/>
          <w:kern w:val="0"/>
          <w:lang w:val="en-US" w:eastAsia="zh-CN"/>
        </w:rPr>
        <w:t>GB/T 19580《卓越绩效评价准则》、</w:t>
      </w:r>
      <w:r>
        <w:rPr>
          <w:rFonts w:cs="Times New Roman"/>
          <w:bCs/>
          <w:kern w:val="0"/>
        </w:rPr>
        <w:t>GB/T 23331</w:t>
      </w:r>
      <w:r>
        <w:rPr>
          <w:rFonts w:hint="eastAsia" w:cs="Times New Roman"/>
          <w:bCs/>
          <w:kern w:val="0"/>
          <w:lang w:eastAsia="zh-CN"/>
        </w:rPr>
        <w:t>《</w:t>
      </w:r>
      <w:r>
        <w:rPr>
          <w:rFonts w:hint="eastAsia" w:cs="Times New Roman"/>
          <w:bCs/>
          <w:kern w:val="0"/>
        </w:rPr>
        <w:t>能源管理体系 要求及使用指南</w:t>
      </w:r>
      <w:r>
        <w:rPr>
          <w:rFonts w:hint="eastAsia" w:cs="Times New Roman"/>
          <w:bCs/>
          <w:kern w:val="0"/>
          <w:lang w:eastAsia="zh-CN"/>
        </w:rPr>
        <w:t>》、</w:t>
      </w:r>
      <w:r>
        <w:rPr>
          <w:rFonts w:cs="Times New Roman"/>
        </w:rPr>
        <w:t>GB/T 240</w:t>
      </w:r>
      <w:r>
        <w:rPr>
          <w:rFonts w:hint="eastAsia" w:ascii="Times New Roman" w:hAnsi="Times New Roman" w:cs="Times New Roman"/>
          <w:bCs/>
          <w:kern w:val="0"/>
        </w:rPr>
        <w:t>01</w:t>
      </w:r>
      <w:r>
        <w:rPr>
          <w:rFonts w:hint="eastAsia" w:ascii="Times New Roman" w:hAnsi="Times New Roman" w:cs="Times New Roman"/>
          <w:bCs/>
          <w:kern w:val="0"/>
          <w:lang w:eastAsia="zh-CN"/>
        </w:rPr>
        <w:t>《</w:t>
      </w:r>
      <w:r>
        <w:rPr>
          <w:rFonts w:hint="eastAsia" w:cs="Times New Roman"/>
        </w:rPr>
        <w:t>环境管理体系</w:t>
      </w:r>
      <w:r>
        <w:rPr>
          <w:rFonts w:hint="eastAsia" w:cs="Times New Roman"/>
          <w:lang w:val="en-US" w:eastAsia="zh-CN"/>
        </w:rPr>
        <w:t xml:space="preserve"> </w:t>
      </w:r>
      <w:r>
        <w:rPr>
          <w:rFonts w:hint="eastAsia" w:cs="Times New Roman"/>
        </w:rPr>
        <w:t>要求及使用指南</w:t>
      </w:r>
      <w:r>
        <w:rPr>
          <w:rFonts w:hint="eastAsia" w:cs="Times New Roman"/>
          <w:lang w:eastAsia="zh-CN"/>
        </w:rPr>
        <w:t>》、</w:t>
      </w:r>
      <w:r>
        <w:rPr>
          <w:rFonts w:hint="eastAsia" w:cs="Times New Roman"/>
        </w:rPr>
        <w:t xml:space="preserve">GB/T 36000 </w:t>
      </w:r>
      <w:r>
        <w:rPr>
          <w:rFonts w:hint="eastAsia" w:cs="Times New Roman"/>
          <w:lang w:eastAsia="zh-CN"/>
        </w:rPr>
        <w:t>《</w:t>
      </w:r>
      <w:r>
        <w:rPr>
          <w:rFonts w:hint="eastAsia" w:cs="Times New Roman"/>
        </w:rPr>
        <w:t>社会责任指南</w:t>
      </w:r>
      <w:r>
        <w:rPr>
          <w:rFonts w:hint="eastAsia" w:cs="Times New Roman"/>
          <w:lang w:eastAsia="zh-CN"/>
        </w:rPr>
        <w:t>》、</w:t>
      </w:r>
      <w:r>
        <w:rPr>
          <w:rFonts w:cs="Times New Roman"/>
          <w:bCs/>
          <w:kern w:val="0"/>
        </w:rPr>
        <w:t xml:space="preserve">GB/T </w:t>
      </w:r>
      <w:r>
        <w:rPr>
          <w:rFonts w:hint="eastAsia" w:cs="Times New Roman"/>
          <w:bCs/>
          <w:kern w:val="0"/>
        </w:rPr>
        <w:t>45001</w:t>
      </w:r>
      <w:r>
        <w:rPr>
          <w:rFonts w:hint="eastAsia" w:cs="Times New Roman"/>
          <w:bCs/>
          <w:kern w:val="0"/>
          <w:lang w:eastAsia="zh-CN"/>
        </w:rPr>
        <w:t>《</w:t>
      </w:r>
      <w:r>
        <w:rPr>
          <w:rFonts w:hint="eastAsia" w:cs="Times New Roman"/>
          <w:bCs/>
          <w:kern w:val="0"/>
        </w:rPr>
        <w:t>职业</w:t>
      </w:r>
      <w:r>
        <w:rPr>
          <w:rFonts w:cs="Times New Roman"/>
          <w:bCs/>
          <w:kern w:val="0"/>
        </w:rPr>
        <w:t>健康安全管理体系</w:t>
      </w:r>
      <w:r>
        <w:rPr>
          <w:rFonts w:hint="eastAsia" w:cs="Times New Roman"/>
          <w:bCs/>
          <w:kern w:val="0"/>
        </w:rPr>
        <w:t xml:space="preserve"> 要求及使用指南</w:t>
      </w:r>
      <w:r>
        <w:rPr>
          <w:rFonts w:hint="eastAsia" w:cs="Times New Roman"/>
          <w:bCs/>
          <w:kern w:val="0"/>
          <w:lang w:eastAsia="zh-CN"/>
        </w:rPr>
        <w:t>》。</w:t>
      </w:r>
    </w:p>
    <w:p>
      <w:pPr>
        <w:pStyle w:val="3"/>
        <w:spacing w:line="360" w:lineRule="auto"/>
        <w:rPr>
          <w:rFonts w:hint="eastAsia"/>
        </w:rPr>
      </w:pPr>
      <w:r>
        <w:rPr>
          <w:rFonts w:hint="eastAsia"/>
        </w:rPr>
        <w:t>2.4 术语和定义</w:t>
      </w:r>
    </w:p>
    <w:p>
      <w:pPr>
        <w:spacing w:line="360" w:lineRule="auto"/>
        <w:ind w:firstLine="480" w:firstLineChars="200"/>
        <w:rPr>
          <w:rFonts w:hint="eastAsia" w:cs="Times New Roman"/>
          <w:sz w:val="24"/>
          <w:szCs w:val="24"/>
          <w:lang w:val="en-US" w:eastAsia="zh-CN"/>
        </w:rPr>
      </w:pPr>
      <w:bookmarkStart w:id="2" w:name="_Hlk48569664"/>
      <w:r>
        <w:rPr>
          <w:rFonts w:hint="eastAsia" w:eastAsia="宋体" w:cs="Times New Roman"/>
          <w:sz w:val="24"/>
          <w:szCs w:val="24"/>
          <w:lang w:val="en-US" w:eastAsia="zh-Hans"/>
        </w:rPr>
        <w:t>GB/T 36000界定的术语和定义适用于</w:t>
      </w:r>
      <w:r>
        <w:rPr>
          <w:rFonts w:hint="eastAsia" w:cs="Times New Roman"/>
          <w:sz w:val="24"/>
          <w:szCs w:val="24"/>
          <w:lang w:val="en-US" w:eastAsia="zh-CN"/>
        </w:rPr>
        <w:t>本文件</w:t>
      </w:r>
      <w:r>
        <w:rPr>
          <w:rFonts w:hint="default" w:eastAsia="宋体" w:cs="Times New Roman"/>
          <w:sz w:val="24"/>
          <w:szCs w:val="24"/>
          <w:lang w:eastAsia="zh-Hans"/>
        </w:rPr>
        <w:t>。</w:t>
      </w:r>
      <w:r>
        <w:rPr>
          <w:rFonts w:hint="eastAsia" w:cs="Times New Roman"/>
          <w:sz w:val="24"/>
          <w:szCs w:val="24"/>
          <w:lang w:val="en-US" w:eastAsia="zh-CN"/>
        </w:rPr>
        <w:t>本文件</w:t>
      </w:r>
      <w:r>
        <w:rPr>
          <w:rFonts w:hint="eastAsia" w:eastAsia="宋体" w:cs="Times New Roman"/>
          <w:sz w:val="24"/>
          <w:szCs w:val="24"/>
          <w:lang w:val="en-US" w:eastAsia="zh-Hans"/>
        </w:rPr>
        <w:t>给出</w:t>
      </w:r>
      <w:r>
        <w:rPr>
          <w:rFonts w:hint="eastAsia" w:cs="Times New Roman"/>
          <w:sz w:val="24"/>
          <w:szCs w:val="24"/>
          <w:lang w:val="en-US" w:eastAsia="zh-CN"/>
        </w:rPr>
        <w:t>ESG、环境责任、社会责任、公司治理、实质性议题、利益相关方6</w:t>
      </w:r>
      <w:r>
        <w:rPr>
          <w:rFonts w:hint="eastAsia" w:cs="Times New Roman"/>
          <w:sz w:val="24"/>
          <w:szCs w:val="24"/>
          <w:lang w:val="en-US" w:eastAsia="zh-Hans"/>
        </w:rPr>
        <w:t>个术语的定义</w:t>
      </w:r>
      <w:r>
        <w:rPr>
          <w:rFonts w:hint="eastAsia" w:cs="Times New Roman"/>
          <w:sz w:val="24"/>
          <w:szCs w:val="24"/>
          <w:lang w:val="en-US" w:eastAsia="zh-CN"/>
        </w:rPr>
        <w:t>。</w:t>
      </w:r>
      <w:bookmarkEnd w:id="2"/>
    </w:p>
    <w:p>
      <w:pPr>
        <w:ind w:firstLine="420"/>
        <w:rPr>
          <w:rFonts w:cs="Times New Roman"/>
        </w:rPr>
      </w:pPr>
      <w:r>
        <w:rPr>
          <w:rFonts w:eastAsia="宋体" w:cs="Times New Roman"/>
          <w:sz w:val="24"/>
          <w:szCs w:val="24"/>
        </w:rPr>
        <w:t>ESG：</w:t>
      </w:r>
      <w:r>
        <w:rPr>
          <w:rFonts w:hint="eastAsia" w:cs="Times New Roman"/>
        </w:rPr>
        <w:t>一种关注企业环境责任、社会责任、公司治理绩效的投资理念和企业评价标准，是影响投资者决策以及衡量企业可持续发展能力的关键因素。</w:t>
      </w:r>
    </w:p>
    <w:p>
      <w:pPr>
        <w:ind w:firstLine="420" w:firstLineChars="0"/>
        <w:rPr>
          <w:rFonts w:cs="Times New Roman"/>
          <w:bCs/>
          <w:color w:val="000000"/>
          <w:kern w:val="0"/>
        </w:rPr>
      </w:pPr>
      <w:r>
        <w:rPr>
          <w:rFonts w:hint="eastAsia" w:eastAsia="宋体" w:cs="Times New Roman"/>
          <w:sz w:val="24"/>
          <w:szCs w:val="24"/>
          <w:lang w:val="en-US" w:eastAsia="zh-Hans"/>
        </w:rPr>
        <w:t>环境</w:t>
      </w:r>
      <w:r>
        <w:rPr>
          <w:rFonts w:hint="eastAsia" w:cs="Times New Roman"/>
          <w:sz w:val="24"/>
          <w:szCs w:val="24"/>
          <w:lang w:val="en-US" w:eastAsia="zh-CN"/>
        </w:rPr>
        <w:t>责任</w:t>
      </w:r>
      <w:r>
        <w:rPr>
          <w:rFonts w:hint="default" w:eastAsia="宋体" w:cs="Times New Roman"/>
          <w:sz w:val="24"/>
          <w:szCs w:val="24"/>
          <w:lang w:eastAsia="zh-Hans"/>
        </w:rPr>
        <w:t>：</w:t>
      </w:r>
      <w:r>
        <w:rPr>
          <w:rFonts w:hint="eastAsia" w:cs="Times New Roman"/>
          <w:bCs/>
          <w:color w:val="000000"/>
          <w:kern w:val="0"/>
        </w:rPr>
        <w:t>企业通过透明和合乎道德的行为，为其决策和活动对其运行所处的自然环境造成的影响而担当的责任。</w:t>
      </w:r>
    </w:p>
    <w:p>
      <w:pPr>
        <w:ind w:firstLine="400" w:firstLineChars="200"/>
        <w:rPr>
          <w:rFonts w:cs="Times New Roman"/>
          <w:sz w:val="20"/>
        </w:rPr>
      </w:pPr>
      <w:r>
        <w:rPr>
          <w:rFonts w:cs="Times New Roman"/>
          <w:sz w:val="20"/>
        </w:rPr>
        <w:t>注1：环境包括空气、水、土地、自然资源、植物、动物、人和太空及其相互之间的相互关系。其外延可能从企业内延伸到当地、区域和全球系统。</w:t>
      </w:r>
    </w:p>
    <w:p>
      <w:pPr>
        <w:ind w:firstLine="400" w:firstLineChars="200"/>
        <w:rPr>
          <w:rFonts w:hint="default" w:eastAsia="宋体" w:cs="Times New Roman"/>
          <w:sz w:val="24"/>
          <w:szCs w:val="24"/>
          <w:lang w:eastAsia="zh-Hans"/>
        </w:rPr>
      </w:pPr>
      <w:r>
        <w:rPr>
          <w:rFonts w:cs="Times New Roman"/>
          <w:sz w:val="20"/>
        </w:rPr>
        <w:t>注2：</w:t>
      </w:r>
      <w:r>
        <w:rPr>
          <w:rFonts w:hint="eastAsia" w:cs="Times New Roman"/>
          <w:sz w:val="20"/>
        </w:rPr>
        <w:t>环境</w:t>
      </w:r>
      <w:r>
        <w:rPr>
          <w:rFonts w:cs="Times New Roman"/>
          <w:sz w:val="20"/>
        </w:rPr>
        <w:t>可用</w:t>
      </w:r>
      <w:r>
        <w:rPr>
          <w:rFonts w:hint="eastAsia" w:cs="Times New Roman"/>
          <w:sz w:val="20"/>
        </w:rPr>
        <w:t>污染物排放</w:t>
      </w:r>
      <w:r>
        <w:rPr>
          <w:rFonts w:cs="Times New Roman"/>
          <w:sz w:val="20"/>
        </w:rPr>
        <w:t>、</w:t>
      </w:r>
      <w:r>
        <w:rPr>
          <w:rFonts w:hint="eastAsia" w:cs="Times New Roman"/>
          <w:sz w:val="20"/>
        </w:rPr>
        <w:t>资源消耗</w:t>
      </w:r>
      <w:r>
        <w:rPr>
          <w:rFonts w:cs="Times New Roman"/>
          <w:sz w:val="20"/>
        </w:rPr>
        <w:t>、气候</w:t>
      </w:r>
      <w:r>
        <w:rPr>
          <w:rFonts w:hint="eastAsia" w:cs="Times New Roman"/>
          <w:sz w:val="20"/>
        </w:rPr>
        <w:t>变化</w:t>
      </w:r>
      <w:r>
        <w:rPr>
          <w:rFonts w:cs="Times New Roman"/>
          <w:sz w:val="20"/>
        </w:rPr>
        <w:t>或其他特征来</w:t>
      </w:r>
      <w:r>
        <w:rPr>
          <w:rFonts w:hint="eastAsia" w:cs="Times New Roman"/>
          <w:sz w:val="20"/>
        </w:rPr>
        <w:t>定性或定量</w:t>
      </w:r>
      <w:r>
        <w:rPr>
          <w:rFonts w:cs="Times New Roman"/>
          <w:sz w:val="20"/>
        </w:rPr>
        <w:t>描述。</w:t>
      </w:r>
    </w:p>
    <w:p>
      <w:pPr>
        <w:ind w:firstLine="420" w:firstLineChars="0"/>
        <w:rPr>
          <w:rFonts w:cs="Times New Roman"/>
          <w:bCs/>
          <w:color w:val="000000"/>
          <w:kern w:val="0"/>
        </w:rPr>
      </w:pPr>
      <w:r>
        <w:rPr>
          <w:rFonts w:hint="eastAsia" w:eastAsia="宋体" w:cs="Times New Roman"/>
          <w:sz w:val="24"/>
          <w:szCs w:val="24"/>
          <w:lang w:val="en-US" w:eastAsia="zh-Hans"/>
        </w:rPr>
        <w:t>社会</w:t>
      </w:r>
      <w:r>
        <w:rPr>
          <w:rFonts w:hint="eastAsia" w:cs="Times New Roman"/>
          <w:sz w:val="24"/>
          <w:szCs w:val="24"/>
          <w:lang w:val="en-US" w:eastAsia="zh-CN"/>
        </w:rPr>
        <w:t>责任</w:t>
      </w:r>
      <w:r>
        <w:rPr>
          <w:rFonts w:hint="default" w:eastAsia="宋体" w:cs="Times New Roman"/>
          <w:sz w:val="24"/>
          <w:szCs w:val="24"/>
          <w:lang w:eastAsia="zh-Hans"/>
        </w:rPr>
        <w:t>：</w:t>
      </w:r>
      <w:r>
        <w:rPr>
          <w:rFonts w:hint="eastAsia" w:cs="Times New Roman"/>
          <w:bCs/>
          <w:color w:val="000000"/>
          <w:kern w:val="0"/>
        </w:rPr>
        <w:t>企业通过透明和合乎道德的行为，为其决策和活动对社会的影响而担当的责任。这些行为：</w:t>
      </w:r>
    </w:p>
    <w:p>
      <w:pPr>
        <w:ind w:firstLine="420"/>
        <w:rPr>
          <w:rFonts w:cs="Times New Roman"/>
          <w:bCs/>
          <w:color w:val="000000"/>
          <w:kern w:val="0"/>
        </w:rPr>
      </w:pPr>
      <w:r>
        <w:rPr>
          <w:rFonts w:hint="eastAsia" w:ascii="微软雅黑" w:hAnsi="微软雅黑" w:eastAsia="微软雅黑" w:cs="微软雅黑"/>
          <w:bCs/>
          <w:color w:val="000000"/>
          <w:kern w:val="0"/>
        </w:rPr>
        <w:t>——</w:t>
      </w:r>
      <w:r>
        <w:rPr>
          <w:rFonts w:hint="eastAsia" w:cs="Times New Roman"/>
          <w:bCs/>
          <w:color w:val="000000"/>
          <w:kern w:val="0"/>
        </w:rPr>
        <w:t>致力于可持续发展，包括社会成员的健康和社会的福祉；</w:t>
      </w:r>
    </w:p>
    <w:p>
      <w:pPr>
        <w:ind w:firstLine="420"/>
        <w:rPr>
          <w:rFonts w:cs="Times New Roman"/>
          <w:bCs/>
          <w:color w:val="000000"/>
          <w:kern w:val="0"/>
        </w:rPr>
      </w:pPr>
      <w:r>
        <w:rPr>
          <w:rFonts w:hint="eastAsia" w:ascii="微软雅黑" w:hAnsi="微软雅黑" w:eastAsia="微软雅黑" w:cs="微软雅黑"/>
          <w:bCs/>
          <w:color w:val="000000"/>
          <w:kern w:val="0"/>
        </w:rPr>
        <w:t>——</w:t>
      </w:r>
      <w:r>
        <w:rPr>
          <w:rFonts w:hint="eastAsia" w:cs="Times New Roman"/>
          <w:bCs/>
          <w:color w:val="000000"/>
          <w:kern w:val="0"/>
        </w:rPr>
        <w:t>考虑了利益相关方的期望；</w:t>
      </w:r>
    </w:p>
    <w:p>
      <w:pPr>
        <w:ind w:firstLine="420"/>
        <w:rPr>
          <w:rFonts w:cs="Times New Roman"/>
          <w:bCs/>
          <w:color w:val="000000"/>
          <w:kern w:val="0"/>
        </w:rPr>
      </w:pPr>
      <w:r>
        <w:rPr>
          <w:rFonts w:hint="eastAsia" w:ascii="微软雅黑" w:hAnsi="微软雅黑" w:eastAsia="微软雅黑" w:cs="微软雅黑"/>
          <w:bCs/>
          <w:color w:val="000000"/>
          <w:kern w:val="0"/>
        </w:rPr>
        <w:t>——</w:t>
      </w:r>
      <w:r>
        <w:rPr>
          <w:rFonts w:hint="eastAsia" w:cs="Times New Roman"/>
          <w:bCs/>
          <w:color w:val="000000"/>
          <w:kern w:val="0"/>
        </w:rPr>
        <w:t>促进企业价值网各环节的协调发展；</w:t>
      </w:r>
    </w:p>
    <w:p>
      <w:pPr>
        <w:ind w:firstLine="420"/>
        <w:rPr>
          <w:rFonts w:cs="Times New Roman"/>
          <w:bCs/>
          <w:color w:val="000000"/>
          <w:kern w:val="0"/>
        </w:rPr>
      </w:pPr>
      <w:r>
        <w:rPr>
          <w:rFonts w:hint="eastAsia" w:ascii="微软雅黑" w:hAnsi="微软雅黑" w:eastAsia="微软雅黑" w:cs="微软雅黑"/>
          <w:bCs/>
          <w:color w:val="000000"/>
          <w:kern w:val="0"/>
        </w:rPr>
        <w:t>——</w:t>
      </w:r>
      <w:r>
        <w:rPr>
          <w:rFonts w:hint="eastAsia" w:cs="Times New Roman"/>
          <w:bCs/>
          <w:color w:val="000000"/>
          <w:kern w:val="0"/>
        </w:rPr>
        <w:t>符合适用的法律，并与国际行为规范相一致；</w:t>
      </w:r>
    </w:p>
    <w:p>
      <w:pPr>
        <w:ind w:firstLine="420"/>
        <w:rPr>
          <w:rFonts w:cs="Times New Roman"/>
          <w:bCs/>
          <w:color w:val="000000"/>
          <w:kern w:val="0"/>
        </w:rPr>
      </w:pPr>
      <w:r>
        <w:rPr>
          <w:rFonts w:hint="eastAsia" w:ascii="微软雅黑" w:hAnsi="微软雅黑" w:eastAsia="微软雅黑" w:cs="微软雅黑"/>
          <w:bCs/>
          <w:color w:val="000000"/>
          <w:kern w:val="0"/>
        </w:rPr>
        <w:t>——</w:t>
      </w:r>
      <w:r>
        <w:rPr>
          <w:rFonts w:hint="eastAsia" w:cs="Times New Roman"/>
          <w:bCs/>
          <w:color w:val="000000"/>
          <w:kern w:val="0"/>
        </w:rPr>
        <w:t>被融入整个企业并在企业关系中实施。</w:t>
      </w:r>
    </w:p>
    <w:p>
      <w:pPr>
        <w:ind w:firstLine="420"/>
        <w:rPr>
          <w:rFonts w:cs="Times New Roman"/>
          <w:bCs/>
          <w:color w:val="000000"/>
          <w:kern w:val="0"/>
          <w:sz w:val="20"/>
          <w:szCs w:val="20"/>
        </w:rPr>
      </w:pPr>
      <w:r>
        <w:rPr>
          <w:rFonts w:hint="eastAsia" w:cs="Times New Roman"/>
          <w:bCs/>
          <w:color w:val="000000"/>
          <w:kern w:val="0"/>
          <w:sz w:val="20"/>
          <w:szCs w:val="20"/>
        </w:rPr>
        <w:t>注1：活动包括产品、服务和过程。</w:t>
      </w:r>
    </w:p>
    <w:p>
      <w:pPr>
        <w:ind w:firstLine="420"/>
        <w:rPr>
          <w:rFonts w:hint="default" w:eastAsia="宋体" w:cs="Times New Roman"/>
          <w:sz w:val="24"/>
          <w:szCs w:val="24"/>
          <w:lang w:eastAsia="zh-Hans"/>
        </w:rPr>
      </w:pPr>
      <w:r>
        <w:rPr>
          <w:rFonts w:hint="eastAsia" w:cs="Times New Roman"/>
          <w:bCs/>
          <w:color w:val="000000"/>
          <w:kern w:val="0"/>
          <w:sz w:val="20"/>
          <w:szCs w:val="20"/>
        </w:rPr>
        <w:t>注2：企业关系是指企业在其影响范围内的活动。</w:t>
      </w:r>
    </w:p>
    <w:p>
      <w:pPr>
        <w:ind w:firstLine="420"/>
        <w:rPr>
          <w:rFonts w:hint="default" w:eastAsia="宋体" w:cs="Times New Roman"/>
          <w:sz w:val="24"/>
          <w:szCs w:val="24"/>
          <w:lang w:eastAsia="zh-Hans"/>
        </w:rPr>
      </w:pPr>
      <w:r>
        <w:rPr>
          <w:rFonts w:hint="eastAsia" w:cs="Times New Roman"/>
          <w:sz w:val="24"/>
          <w:szCs w:val="24"/>
          <w:lang w:val="en-US" w:eastAsia="zh-CN"/>
        </w:rPr>
        <w:t>公司</w:t>
      </w:r>
      <w:r>
        <w:rPr>
          <w:rFonts w:hint="eastAsia" w:eastAsia="宋体" w:cs="Times New Roman"/>
          <w:sz w:val="24"/>
          <w:szCs w:val="24"/>
          <w:lang w:val="en-US" w:eastAsia="zh-Hans"/>
        </w:rPr>
        <w:t>治理</w:t>
      </w:r>
      <w:r>
        <w:rPr>
          <w:rFonts w:hint="default" w:eastAsia="宋体" w:cs="Times New Roman"/>
          <w:sz w:val="24"/>
          <w:szCs w:val="24"/>
          <w:lang w:eastAsia="zh-Hans"/>
        </w:rPr>
        <w:t>：</w:t>
      </w:r>
      <w:r>
        <w:rPr>
          <w:rFonts w:hint="eastAsia" w:cs="Times New Roman"/>
          <w:bCs/>
          <w:color w:val="000000"/>
          <w:kern w:val="0"/>
          <w:lang w:val="en-US" w:eastAsia="zh-CN"/>
        </w:rPr>
        <w:t>在企业的经营中实行的管理和控制系统，包括批准战略方向、监视和评价高层领导绩效、财务审计、风险管理、信息披露等活动</w:t>
      </w:r>
      <w:r>
        <w:rPr>
          <w:rFonts w:hint="eastAsia" w:cs="Times New Roman"/>
          <w:bCs/>
          <w:color w:val="000000"/>
          <w:kern w:val="0"/>
        </w:rPr>
        <w:t>。</w:t>
      </w:r>
    </w:p>
    <w:p>
      <w:pPr>
        <w:ind w:firstLine="420"/>
        <w:rPr>
          <w:rFonts w:cs="Times New Roman"/>
          <w:bCs/>
          <w:color w:val="000000"/>
          <w:kern w:val="0"/>
        </w:rPr>
      </w:pPr>
      <w:r>
        <w:rPr>
          <w:rFonts w:hint="eastAsia" w:eastAsia="宋体" w:cs="Times New Roman"/>
          <w:sz w:val="24"/>
          <w:szCs w:val="24"/>
          <w:lang w:val="en-US" w:eastAsia="zh-Hans"/>
        </w:rPr>
        <w:t>实质性议题</w:t>
      </w:r>
      <w:r>
        <w:rPr>
          <w:rFonts w:hint="default" w:eastAsia="宋体" w:cs="Times New Roman"/>
          <w:sz w:val="24"/>
          <w:szCs w:val="24"/>
          <w:lang w:eastAsia="zh-Hans"/>
        </w:rPr>
        <w:t>：</w:t>
      </w:r>
      <w:r>
        <w:rPr>
          <w:rFonts w:hint="eastAsia" w:cs="Times New Roman"/>
          <w:bCs/>
          <w:color w:val="000000"/>
          <w:kern w:val="0"/>
        </w:rPr>
        <w:t>对企业、利益相关方的决策和价值创造能力产生重要影响的议题。</w:t>
      </w:r>
    </w:p>
    <w:p>
      <w:pPr>
        <w:ind w:firstLine="420"/>
        <w:rPr>
          <w:rFonts w:hint="eastAsia" w:cs="Times New Roman"/>
          <w:bCs/>
          <w:color w:val="000000"/>
          <w:kern w:val="0"/>
          <w:lang w:val="en-US" w:eastAsia="zh-CN"/>
        </w:rPr>
      </w:pPr>
      <w:r>
        <w:rPr>
          <w:rFonts w:hint="eastAsia" w:cs="Times New Roman"/>
          <w:sz w:val="24"/>
          <w:szCs w:val="24"/>
          <w:lang w:val="en-US" w:eastAsia="zh-CN"/>
        </w:rPr>
        <w:t>利益相关方：</w:t>
      </w:r>
      <w:r>
        <w:rPr>
          <w:rFonts w:hint="eastAsia" w:cs="Times New Roman"/>
          <w:bCs/>
          <w:color w:val="000000"/>
          <w:kern w:val="0"/>
          <w:lang w:val="en-US" w:eastAsia="zh-CN"/>
        </w:rPr>
        <w:t>与企业有利益关系的个人或组织群体，即企业行为、决策、政策、活动或目标的影响者或被影响者。</w:t>
      </w:r>
    </w:p>
    <w:p>
      <w:pPr>
        <w:ind w:firstLine="420"/>
        <w:rPr>
          <w:rFonts w:hint="default" w:eastAsia="黑体" w:cs="Times New Roman"/>
          <w:bCs/>
          <w:color w:val="000000"/>
          <w:kern w:val="0"/>
          <w:sz w:val="18"/>
          <w:szCs w:val="18"/>
          <w:lang w:val="en-US" w:eastAsia="zh-CN"/>
        </w:rPr>
      </w:pPr>
      <w:r>
        <w:rPr>
          <w:rFonts w:hint="eastAsia" w:cs="Times New Roman"/>
          <w:bCs/>
          <w:color w:val="000000"/>
          <w:kern w:val="0"/>
          <w:sz w:val="18"/>
          <w:szCs w:val="18"/>
          <w:lang w:val="en-US" w:eastAsia="zh-CN"/>
        </w:rPr>
        <w:t>注：如企业内部员工，企业外部供应商，股票持有者等。</w:t>
      </w:r>
    </w:p>
    <w:p>
      <w:pPr>
        <w:pStyle w:val="3"/>
        <w:spacing w:line="360" w:lineRule="auto"/>
        <w:rPr>
          <w:rFonts w:hint="eastAsia" w:eastAsia="黑体"/>
          <w:lang w:val="en-US" w:eastAsia="zh-CN"/>
        </w:rPr>
      </w:pPr>
      <w:r>
        <w:rPr>
          <w:rFonts w:hint="eastAsia"/>
        </w:rPr>
        <w:t xml:space="preserve">2.5 </w:t>
      </w:r>
      <w:r>
        <w:rPr>
          <w:rFonts w:hint="eastAsia"/>
          <w:lang w:val="en-US" w:eastAsia="zh-CN"/>
        </w:rPr>
        <w:t>披露原则</w:t>
      </w:r>
    </w:p>
    <w:p>
      <w:pPr>
        <w:pStyle w:val="4"/>
        <w:rPr>
          <w:rFonts w:hint="eastAsia" w:eastAsia="黑体"/>
          <w:lang w:eastAsia="zh-CN"/>
        </w:rPr>
      </w:pPr>
      <w:r>
        <w:rPr>
          <w:rFonts w:hint="eastAsia"/>
        </w:rPr>
        <w:t>2</w:t>
      </w:r>
      <w:r>
        <w:t xml:space="preserve">.5.1 </w:t>
      </w:r>
      <w:r>
        <w:rPr>
          <w:rFonts w:hint="eastAsia"/>
          <w:lang w:val="en-US" w:eastAsia="zh-CN"/>
        </w:rPr>
        <w:t>概述</w:t>
      </w:r>
    </w:p>
    <w:p>
      <w:pPr>
        <w:spacing w:line="360" w:lineRule="auto"/>
        <w:ind w:firstLine="480" w:firstLineChars="200"/>
        <w:rPr>
          <w:rFonts w:hint="eastAsia" w:cs="Times New Roman"/>
          <w:sz w:val="24"/>
          <w:szCs w:val="24"/>
          <w:lang w:val="en-US" w:eastAsia="zh-CN"/>
        </w:rPr>
      </w:pPr>
      <w:bookmarkStart w:id="3" w:name="_Hlk48569682"/>
      <w:r>
        <w:rPr>
          <w:rFonts w:hint="eastAsia" w:cs="Times New Roman"/>
          <w:sz w:val="24"/>
          <w:szCs w:val="24"/>
          <w:lang w:val="en-US" w:eastAsia="zh-CN"/>
        </w:rPr>
        <w:t>披露原则是实现高质量ESG报告的基础。如果企业宣称起ESG报告是按照本文件编制而成的，该企业必须运用本文件提及的披露原则。披露原则又分为两个维度：界定披露内容的原则和界定披露质量的原则，见表1。</w:t>
      </w:r>
    </w:p>
    <w:p>
      <w:pPr>
        <w:spacing w:line="360" w:lineRule="auto"/>
        <w:ind w:firstLine="480" w:firstLineChars="200"/>
        <w:rPr>
          <w:rFonts w:hint="eastAsia" w:cs="Times New Roman"/>
          <w:sz w:val="24"/>
          <w:szCs w:val="24"/>
          <w:lang w:val="en-US" w:eastAsia="zh-CN"/>
        </w:rPr>
      </w:pPr>
    </w:p>
    <w:p>
      <w:pPr>
        <w:spacing w:line="360" w:lineRule="auto"/>
        <w:ind w:firstLine="480" w:firstLineChars="200"/>
        <w:rPr>
          <w:rFonts w:hint="eastAsia" w:cs="Times New Roman"/>
          <w:sz w:val="24"/>
          <w:szCs w:val="24"/>
          <w:lang w:val="en-US" w:eastAsia="zh-CN"/>
        </w:rPr>
      </w:pPr>
    </w:p>
    <w:p>
      <w:pPr>
        <w:spacing w:line="360" w:lineRule="auto"/>
        <w:ind w:firstLine="480" w:firstLineChars="200"/>
        <w:rPr>
          <w:rFonts w:hint="eastAsia" w:cs="Times New Roman"/>
          <w:sz w:val="24"/>
          <w:szCs w:val="24"/>
          <w:lang w:val="en-US" w:eastAsia="zh-CN"/>
        </w:rPr>
      </w:pPr>
    </w:p>
    <w:p>
      <w:pPr>
        <w:spacing w:line="360" w:lineRule="auto"/>
        <w:ind w:firstLine="420" w:firstLineChars="20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表1 披露原则的两个维度</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261" w:type="dxa"/>
          </w:tcPr>
          <w:p>
            <w:pPr>
              <w:spacing w:line="240" w:lineRule="auto"/>
              <w:jc w:val="center"/>
              <w:rPr>
                <w:rFonts w:hint="eastAsia" w:ascii="Times New Roman" w:hAnsi="Times New Roman"/>
                <w:b w:val="0"/>
                <w:bCs w:val="0"/>
                <w:sz w:val="18"/>
                <w:szCs w:val="18"/>
                <w:lang w:val="en-US" w:eastAsia="zh-CN"/>
              </w:rPr>
            </w:pPr>
            <w:r>
              <w:rPr>
                <w:rFonts w:hint="eastAsia" w:ascii="Times New Roman" w:hAnsi="Times New Roman"/>
                <w:b w:val="0"/>
                <w:bCs w:val="0"/>
                <w:sz w:val="18"/>
                <w:szCs w:val="18"/>
                <w:lang w:val="en-US" w:eastAsia="zh-CN"/>
              </w:rPr>
              <w:t>界定披露内容的原则</w:t>
            </w:r>
          </w:p>
        </w:tc>
        <w:tc>
          <w:tcPr>
            <w:tcW w:w="4261" w:type="dxa"/>
          </w:tcPr>
          <w:p>
            <w:pPr>
              <w:spacing w:line="240" w:lineRule="auto"/>
              <w:jc w:val="center"/>
              <w:rPr>
                <w:rFonts w:hint="eastAsia" w:ascii="Times New Roman" w:hAnsi="Times New Roman"/>
                <w:b w:val="0"/>
                <w:bCs w:val="0"/>
                <w:sz w:val="18"/>
                <w:szCs w:val="18"/>
                <w:lang w:val="en-US" w:eastAsia="zh-CN"/>
              </w:rPr>
            </w:pPr>
            <w:r>
              <w:rPr>
                <w:rFonts w:hint="eastAsia" w:ascii="Times New Roman" w:hAnsi="Times New Roman"/>
                <w:b w:val="0"/>
                <w:bCs w:val="0"/>
                <w:sz w:val="18"/>
                <w:szCs w:val="18"/>
                <w:lang w:val="en-US" w:eastAsia="zh-CN"/>
              </w:rPr>
              <w:t>界定披露质量的原则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numPr>
                <w:ilvl w:val="0"/>
                <w:numId w:val="2"/>
              </w:numPr>
              <w:spacing w:line="240" w:lineRule="auto"/>
              <w:ind w:left="420" w:leftChars="0" w:hanging="420" w:firstLineChars="0"/>
              <w:jc w:val="left"/>
              <w:rPr>
                <w:rFonts w:hint="eastAsia" w:ascii="Times New Roman" w:hAnsi="Times New Roman"/>
                <w:b w:val="0"/>
                <w:bCs w:val="0"/>
                <w:sz w:val="18"/>
                <w:szCs w:val="18"/>
                <w:lang w:val="en-US" w:eastAsia="zh-CN"/>
              </w:rPr>
            </w:pPr>
            <w:r>
              <w:rPr>
                <w:rFonts w:hint="eastAsia" w:ascii="Times New Roman" w:hAnsi="Times New Roman"/>
                <w:b w:val="0"/>
                <w:bCs w:val="0"/>
                <w:sz w:val="18"/>
                <w:szCs w:val="18"/>
                <w:lang w:val="en-US" w:eastAsia="zh-CN"/>
              </w:rPr>
              <w:t>实质性</w:t>
            </w:r>
          </w:p>
          <w:p>
            <w:pPr>
              <w:numPr>
                <w:ilvl w:val="0"/>
                <w:numId w:val="2"/>
              </w:numPr>
              <w:spacing w:line="240" w:lineRule="auto"/>
              <w:ind w:left="420" w:leftChars="0" w:hanging="420" w:firstLineChars="0"/>
              <w:jc w:val="left"/>
              <w:rPr>
                <w:rFonts w:hint="eastAsia" w:ascii="Times New Roman" w:hAnsi="Times New Roman"/>
                <w:b w:val="0"/>
                <w:bCs w:val="0"/>
                <w:sz w:val="18"/>
                <w:szCs w:val="18"/>
                <w:lang w:val="en-US" w:eastAsia="zh-CN"/>
              </w:rPr>
            </w:pPr>
            <w:r>
              <w:rPr>
                <w:rFonts w:hint="eastAsia" w:ascii="Times New Roman" w:hAnsi="Times New Roman"/>
                <w:b w:val="0"/>
                <w:bCs w:val="0"/>
                <w:sz w:val="18"/>
                <w:szCs w:val="18"/>
                <w:lang w:val="en-US" w:eastAsia="zh-CN"/>
              </w:rPr>
              <w:t>全面性</w:t>
            </w:r>
          </w:p>
        </w:tc>
        <w:tc>
          <w:tcPr>
            <w:tcW w:w="4261" w:type="dxa"/>
            <w:vAlign w:val="top"/>
          </w:tcPr>
          <w:p>
            <w:pPr>
              <w:numPr>
                <w:ilvl w:val="0"/>
                <w:numId w:val="2"/>
              </w:numPr>
              <w:spacing w:line="240" w:lineRule="auto"/>
              <w:ind w:left="420" w:leftChars="0" w:hanging="420" w:firstLineChars="0"/>
              <w:jc w:val="left"/>
              <w:rPr>
                <w:rFonts w:hint="eastAsia" w:ascii="Times New Roman" w:hAnsi="Times New Roman"/>
                <w:b w:val="0"/>
                <w:bCs w:val="0"/>
                <w:sz w:val="18"/>
                <w:szCs w:val="18"/>
                <w:lang w:val="en-US" w:eastAsia="zh-CN"/>
              </w:rPr>
            </w:pPr>
            <w:r>
              <w:rPr>
                <w:rFonts w:hint="eastAsia" w:ascii="Times New Roman" w:hAnsi="Times New Roman"/>
                <w:b w:val="0"/>
                <w:bCs w:val="0"/>
                <w:sz w:val="18"/>
                <w:szCs w:val="18"/>
                <w:lang w:val="en-US" w:eastAsia="zh-CN"/>
              </w:rPr>
              <w:t>准确性</w:t>
            </w:r>
          </w:p>
          <w:p>
            <w:pPr>
              <w:numPr>
                <w:ilvl w:val="0"/>
                <w:numId w:val="2"/>
              </w:numPr>
              <w:spacing w:line="240" w:lineRule="auto"/>
              <w:ind w:left="420" w:leftChars="0" w:hanging="420" w:firstLineChars="0"/>
              <w:jc w:val="left"/>
              <w:rPr>
                <w:rFonts w:hint="eastAsia" w:ascii="Times New Roman" w:hAnsi="Times New Roman"/>
                <w:b w:val="0"/>
                <w:bCs w:val="0"/>
                <w:sz w:val="18"/>
                <w:szCs w:val="18"/>
                <w:lang w:val="en-US" w:eastAsia="zh-CN"/>
              </w:rPr>
            </w:pPr>
            <w:r>
              <w:rPr>
                <w:rFonts w:hint="eastAsia" w:ascii="Times New Roman" w:hAnsi="Times New Roman"/>
                <w:b w:val="0"/>
                <w:bCs w:val="0"/>
                <w:sz w:val="18"/>
                <w:szCs w:val="18"/>
                <w:lang w:val="en-US" w:eastAsia="zh-CN"/>
              </w:rPr>
              <w:t>真实性</w:t>
            </w:r>
          </w:p>
          <w:p>
            <w:pPr>
              <w:numPr>
                <w:ilvl w:val="0"/>
                <w:numId w:val="2"/>
              </w:numPr>
              <w:spacing w:line="240" w:lineRule="auto"/>
              <w:ind w:left="420" w:leftChars="0" w:hanging="420" w:firstLineChars="0"/>
              <w:jc w:val="left"/>
              <w:rPr>
                <w:rFonts w:hint="eastAsia" w:ascii="Times New Roman" w:hAnsi="Times New Roman"/>
                <w:b w:val="0"/>
                <w:bCs w:val="0"/>
                <w:sz w:val="18"/>
                <w:szCs w:val="18"/>
                <w:lang w:val="en-US" w:eastAsia="zh-CN"/>
              </w:rPr>
            </w:pPr>
            <w:r>
              <w:rPr>
                <w:rFonts w:hint="eastAsia" w:ascii="Times New Roman" w:hAnsi="Times New Roman"/>
                <w:b w:val="0"/>
                <w:bCs w:val="0"/>
                <w:sz w:val="18"/>
                <w:szCs w:val="18"/>
                <w:lang w:val="en-US" w:eastAsia="zh-CN"/>
              </w:rPr>
              <w:t>可比性</w:t>
            </w:r>
          </w:p>
        </w:tc>
      </w:tr>
    </w:tbl>
    <w:p>
      <w:pPr>
        <w:pStyle w:val="4"/>
        <w:rPr>
          <w:rFonts w:hint="default" w:ascii="Times New Roman" w:hAnsi="Times New Roman"/>
          <w:lang w:val="en-US" w:eastAsia="zh-CN"/>
        </w:rPr>
      </w:pPr>
      <w:r>
        <w:rPr>
          <w:rFonts w:hint="default" w:ascii="Times New Roman" w:hAnsi="Times New Roman"/>
          <w:lang w:eastAsia="zh-CN"/>
        </w:rPr>
        <w:t>2</w:t>
      </w:r>
      <w:r>
        <w:rPr>
          <w:rFonts w:hint="eastAsia" w:ascii="Times New Roman" w:hAnsi="Times New Roman"/>
          <w:lang w:val="en-US" w:eastAsia="zh-Hans"/>
        </w:rPr>
        <w:t>.</w:t>
      </w:r>
      <w:r>
        <w:rPr>
          <w:rFonts w:hint="default" w:ascii="Times New Roman" w:hAnsi="Times New Roman"/>
          <w:lang w:eastAsia="zh-Hans"/>
        </w:rPr>
        <w:t>5</w:t>
      </w:r>
      <w:r>
        <w:rPr>
          <w:rFonts w:hint="default" w:ascii="Times New Roman" w:hAnsi="Times New Roman"/>
          <w:lang w:val="en-US" w:eastAsia="zh-CN"/>
        </w:rPr>
        <w:t>.2 实质性</w:t>
      </w:r>
    </w:p>
    <w:p>
      <w:pPr>
        <w:spacing w:line="360" w:lineRule="auto"/>
        <w:ind w:firstLine="420" w:firstLineChars="0"/>
        <w:rPr>
          <w:rFonts w:hint="eastAsia" w:cs="Times New Roman"/>
          <w:sz w:val="24"/>
          <w:szCs w:val="24"/>
          <w:lang w:val="en-US" w:eastAsia="zh-CN"/>
        </w:rPr>
      </w:pPr>
      <w:r>
        <w:rPr>
          <w:rFonts w:hint="default" w:cs="Times New Roman"/>
          <w:sz w:val="24"/>
          <w:szCs w:val="24"/>
          <w:lang w:val="en-US" w:eastAsia="zh-CN"/>
        </w:rPr>
        <w:t>实质性原则主要包含两个维度：一方面能够体现企业价值创造能力，给予利益相关方评估和决策参考；另一方面能够体现企业的重大经济、环境和社会影响。原则上来说，当一个议题满足其中一个维度，就应被认为属于企业的实质性议题并进行披露。</w:t>
      </w:r>
      <w:r>
        <w:rPr>
          <w:rFonts w:hint="eastAsia" w:cs="Times New Roman"/>
          <w:sz w:val="24"/>
          <w:szCs w:val="24"/>
          <w:lang w:val="en-US" w:eastAsia="zh-CN"/>
        </w:rPr>
        <w:t>实质性原则的可视化分析如图1所示。</w:t>
      </w:r>
    </w:p>
    <w:p>
      <w:pPr>
        <w:spacing w:line="360" w:lineRule="auto"/>
        <w:ind w:firstLine="420" w:firstLineChars="0"/>
        <w:jc w:val="center"/>
      </w:pPr>
      <w:r>
        <w:drawing>
          <wp:inline distT="0" distB="0" distL="114300" distR="114300">
            <wp:extent cx="2686050" cy="252666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686050" cy="2526665"/>
                    </a:xfrm>
                    <a:prstGeom prst="rect">
                      <a:avLst/>
                    </a:prstGeom>
                    <a:noFill/>
                    <a:ln>
                      <a:noFill/>
                    </a:ln>
                  </pic:spPr>
                </pic:pic>
              </a:graphicData>
            </a:graphic>
          </wp:inline>
        </w:drawing>
      </w:r>
    </w:p>
    <w:p>
      <w:pPr>
        <w:spacing w:line="360" w:lineRule="auto"/>
        <w:ind w:firstLine="420" w:firstLineChars="200"/>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图1 实质性议题分析的视觉表示</w:t>
      </w:r>
    </w:p>
    <w:p>
      <w:pPr>
        <w:spacing w:line="360" w:lineRule="auto"/>
        <w:ind w:firstLine="420" w:firstLineChars="0"/>
        <w:rPr>
          <w:rFonts w:hint="default" w:cs="Times New Roman"/>
          <w:sz w:val="24"/>
          <w:szCs w:val="24"/>
          <w:lang w:val="en-US" w:eastAsia="zh-CN"/>
        </w:rPr>
      </w:pPr>
      <w:r>
        <w:rPr>
          <w:rFonts w:hint="default" w:cs="Times New Roman"/>
          <w:sz w:val="24"/>
          <w:szCs w:val="24"/>
          <w:lang w:val="en-US" w:eastAsia="zh-CN"/>
        </w:rPr>
        <w:t>以建材行业中的水泥企业为例，气候变化可能短期内不会对企业价值（财务绩效）造成直接、显著的影响；然而，气候变化可能导致一系列的问题，如自然资源短缺、温管法总量控制政策收紧、碳税增加等等，水泥企业作为资源能源承载型和碳排放较大的高能耗高排放行业，中长期来看，气候变化将导致水泥企业的原材料及供应链的生产成本与运输成本的增加。因而，在列举及评估水泥企业的ESG实质性议题时，应将气候变化这一议题纳入其中。</w:t>
      </w:r>
    </w:p>
    <w:p>
      <w:pPr>
        <w:pStyle w:val="4"/>
        <w:rPr>
          <w:rFonts w:hint="default" w:ascii="Times New Roman" w:hAnsi="Times New Roman"/>
          <w:lang w:val="en-US" w:eastAsia="zh-CN"/>
        </w:rPr>
      </w:pPr>
      <w:r>
        <w:rPr>
          <w:rFonts w:hint="default" w:ascii="Times New Roman" w:hAnsi="Times New Roman"/>
          <w:lang w:eastAsia="zh-CN"/>
        </w:rPr>
        <w:t>2</w:t>
      </w:r>
      <w:r>
        <w:rPr>
          <w:rFonts w:hint="eastAsia" w:ascii="Times New Roman" w:hAnsi="Times New Roman"/>
          <w:lang w:val="en-US" w:eastAsia="zh-Hans"/>
        </w:rPr>
        <w:t>.</w:t>
      </w:r>
      <w:r>
        <w:rPr>
          <w:rFonts w:hint="default" w:ascii="Times New Roman" w:hAnsi="Times New Roman"/>
          <w:lang w:eastAsia="zh-Hans"/>
        </w:rPr>
        <w:t>5</w:t>
      </w:r>
      <w:r>
        <w:rPr>
          <w:rFonts w:hint="default" w:ascii="Times New Roman" w:hAnsi="Times New Roman"/>
          <w:lang w:val="en-US" w:eastAsia="zh-CN"/>
        </w:rPr>
        <w:t xml:space="preserve">.2 </w:t>
      </w:r>
      <w:r>
        <w:rPr>
          <w:rFonts w:hint="eastAsia" w:ascii="Times New Roman" w:hAnsi="Times New Roman"/>
          <w:lang w:val="en-US" w:eastAsia="zh-CN"/>
        </w:rPr>
        <w:t>全面</w:t>
      </w:r>
      <w:r>
        <w:rPr>
          <w:rFonts w:hint="default" w:ascii="Times New Roman" w:hAnsi="Times New Roman"/>
          <w:lang w:val="en-US" w:eastAsia="zh-CN"/>
        </w:rPr>
        <w:t>性</w:t>
      </w:r>
    </w:p>
    <w:p>
      <w:pPr>
        <w:ind w:firstLine="420"/>
        <w:rPr>
          <w:rFonts w:hint="eastAsia"/>
          <w:lang w:val="en-US" w:eastAsia="zh-CN"/>
        </w:rPr>
      </w:pPr>
      <w:r>
        <w:rPr>
          <w:rFonts w:hint="eastAsia"/>
          <w:lang w:val="en-US" w:eastAsia="zh-CN"/>
        </w:rPr>
        <w:t>全面性原则是指</w:t>
      </w:r>
      <w:r>
        <w:rPr>
          <w:rFonts w:hint="eastAsia" w:cs="Times New Roman"/>
        </w:rPr>
        <w:t>企业披露的ESG信息应能够全面体现企业重大环境、社会和公司治理绩效。避免因披露不全面造成对利益相关方评估和决策的误导。</w:t>
      </w:r>
      <w:r>
        <w:rPr>
          <w:rFonts w:hint="eastAsia"/>
          <w:lang w:val="en-US" w:eastAsia="zh-CN"/>
        </w:rPr>
        <w:t>全面性主要包括以下维度：报告中涵盖的实质性议题列表、议题边界和时间。另外，全面性概念也指信息收集做法（例如，确保编辑的数据包含影响范围内所有实体的结果）以及信息的呈现是否合理、得当。</w:t>
      </w:r>
    </w:p>
    <w:p>
      <w:pPr>
        <w:ind w:firstLine="420"/>
        <w:rPr>
          <w:rFonts w:hint="default"/>
          <w:lang w:val="en-US" w:eastAsia="zh-CN"/>
        </w:rPr>
      </w:pPr>
      <w:r>
        <w:rPr>
          <w:rFonts w:hint="eastAsia"/>
          <w:lang w:val="en-US" w:eastAsia="zh-CN"/>
        </w:rPr>
        <w:t>企业应在ESG报告中涵盖所有实质性信息，并根据实质性原则确定这些信息的优先级别；同时确保报告中的信息涵盖报告期内的所有重大影响，以及合理估计重大未来影响何时可合理预见以及何时可能变得不可避免或不可逆转；并确认报告中没有遗漏实质影响利益相关方做出评估和决策所需的相关信息，也没有遗漏反映重大经济、环境和社会影响的信息。</w:t>
      </w:r>
    </w:p>
    <w:p>
      <w:pPr>
        <w:pStyle w:val="4"/>
        <w:rPr>
          <w:rFonts w:hint="default" w:ascii="Times New Roman" w:hAnsi="Times New Roman"/>
          <w:lang w:val="en-US" w:eastAsia="zh-CN"/>
        </w:rPr>
      </w:pPr>
      <w:r>
        <w:rPr>
          <w:rFonts w:hint="default" w:ascii="Times New Roman" w:hAnsi="Times New Roman"/>
          <w:lang w:eastAsia="zh-CN"/>
        </w:rPr>
        <w:t>2</w:t>
      </w:r>
      <w:r>
        <w:rPr>
          <w:rFonts w:hint="eastAsia" w:ascii="Times New Roman" w:hAnsi="Times New Roman"/>
          <w:lang w:val="en-US" w:eastAsia="zh-Hans"/>
        </w:rPr>
        <w:t>.</w:t>
      </w:r>
      <w:r>
        <w:rPr>
          <w:rFonts w:hint="default" w:ascii="Times New Roman" w:hAnsi="Times New Roman"/>
          <w:lang w:eastAsia="zh-Hans"/>
        </w:rPr>
        <w:t>5</w:t>
      </w:r>
      <w:r>
        <w:rPr>
          <w:rFonts w:hint="default" w:ascii="Times New Roman" w:hAnsi="Times New Roman"/>
          <w:lang w:val="en-US" w:eastAsia="zh-CN"/>
        </w:rPr>
        <w:t>.</w:t>
      </w:r>
      <w:r>
        <w:rPr>
          <w:rFonts w:hint="eastAsia" w:ascii="Times New Roman" w:hAnsi="Times New Roman"/>
          <w:lang w:val="en-US" w:eastAsia="zh-CN"/>
        </w:rPr>
        <w:t>3</w:t>
      </w:r>
      <w:r>
        <w:rPr>
          <w:rFonts w:hint="default" w:ascii="Times New Roman" w:hAnsi="Times New Roman"/>
          <w:lang w:val="en-US" w:eastAsia="zh-CN"/>
        </w:rPr>
        <w:t xml:space="preserve"> 准确性</w:t>
      </w:r>
    </w:p>
    <w:p>
      <w:pPr>
        <w:spacing w:line="360" w:lineRule="auto"/>
        <w:ind w:firstLine="420" w:firstLineChars="0"/>
        <w:rPr>
          <w:rFonts w:hint="default" w:cs="Times New Roman"/>
          <w:sz w:val="24"/>
          <w:szCs w:val="24"/>
          <w:lang w:val="en-US" w:eastAsia="zh-CN"/>
        </w:rPr>
      </w:pPr>
      <w:r>
        <w:rPr>
          <w:rFonts w:hint="default" w:cs="Times New Roman"/>
          <w:sz w:val="24"/>
          <w:szCs w:val="24"/>
          <w:lang w:val="en-US" w:eastAsia="zh-CN"/>
        </w:rPr>
        <w:t>准确性原则是指利益相关方可以基于企业披露的信息，对企业的重大经济、环境和社会影响作出准确判断。</w:t>
      </w:r>
    </w:p>
    <w:p>
      <w:pPr>
        <w:spacing w:line="360" w:lineRule="auto"/>
        <w:ind w:firstLine="420" w:firstLineChars="0"/>
        <w:rPr>
          <w:rFonts w:hint="default" w:cs="Times New Roman"/>
          <w:sz w:val="24"/>
          <w:szCs w:val="24"/>
          <w:lang w:val="en-US" w:eastAsia="zh-CN"/>
        </w:rPr>
      </w:pPr>
      <w:r>
        <w:rPr>
          <w:rFonts w:hint="default" w:cs="Times New Roman"/>
          <w:sz w:val="24"/>
          <w:szCs w:val="24"/>
          <w:lang w:val="en-US" w:eastAsia="zh-CN"/>
        </w:rPr>
        <w:t>基于信息的性质和适用对象的不同，企业需考虑到准确性的边界差异。进行定性指标披露时，这部分内容需合规准确，并与企业披露的其他信息保持一致。进行定量指标披露时，应做到下述几个方面：</w:t>
      </w:r>
    </w:p>
    <w:p>
      <w:pPr>
        <w:spacing w:line="360" w:lineRule="auto"/>
        <w:ind w:firstLine="420" w:firstLineChars="0"/>
        <w:rPr>
          <w:rFonts w:hint="default" w:cs="Times New Roman"/>
          <w:sz w:val="24"/>
          <w:szCs w:val="24"/>
          <w:lang w:val="en-US" w:eastAsia="zh-CN"/>
        </w:rPr>
      </w:pPr>
      <w:r>
        <w:rPr>
          <w:rFonts w:hint="default" w:cs="Times New Roman"/>
          <w:sz w:val="24"/>
          <w:szCs w:val="24"/>
          <w:lang w:val="en-US" w:eastAsia="zh-CN"/>
        </w:rPr>
        <w:t>a）描述数据的边界；</w:t>
      </w:r>
    </w:p>
    <w:p>
      <w:pPr>
        <w:spacing w:line="360" w:lineRule="auto"/>
        <w:ind w:firstLine="420" w:firstLineChars="0"/>
        <w:rPr>
          <w:rFonts w:hint="default" w:cs="Times New Roman"/>
          <w:sz w:val="24"/>
          <w:szCs w:val="24"/>
          <w:lang w:val="en-US" w:eastAsia="zh-CN"/>
        </w:rPr>
      </w:pPr>
      <w:r>
        <w:rPr>
          <w:rFonts w:hint="default" w:cs="Times New Roman"/>
          <w:sz w:val="24"/>
          <w:szCs w:val="24"/>
          <w:lang w:val="en-US" w:eastAsia="zh-CN"/>
        </w:rPr>
        <w:t>b）数据已经过测算；</w:t>
      </w:r>
    </w:p>
    <w:p>
      <w:pPr>
        <w:spacing w:line="360" w:lineRule="auto"/>
        <w:ind w:firstLine="420" w:firstLineChars="0"/>
        <w:rPr>
          <w:rFonts w:hint="default" w:cs="Times New Roman"/>
          <w:sz w:val="24"/>
          <w:szCs w:val="24"/>
          <w:lang w:val="en-US" w:eastAsia="zh-CN"/>
        </w:rPr>
      </w:pPr>
      <w:r>
        <w:rPr>
          <w:rFonts w:hint="default" w:cs="Times New Roman"/>
          <w:sz w:val="24"/>
          <w:szCs w:val="24"/>
          <w:lang w:val="en-US" w:eastAsia="zh-CN"/>
        </w:rPr>
        <w:t>c）对数据测算和计算依据及方法学进行充分描述，保证其复现性；</w:t>
      </w:r>
    </w:p>
    <w:p>
      <w:pPr>
        <w:spacing w:line="360" w:lineRule="auto"/>
        <w:ind w:firstLine="420" w:firstLineChars="0"/>
        <w:rPr>
          <w:rFonts w:hint="default" w:cs="Times New Roman"/>
          <w:sz w:val="24"/>
          <w:szCs w:val="24"/>
          <w:lang w:val="en-US" w:eastAsia="zh-CN"/>
        </w:rPr>
      </w:pPr>
      <w:r>
        <w:rPr>
          <w:rFonts w:hint="default" w:cs="Times New Roman"/>
          <w:sz w:val="24"/>
          <w:szCs w:val="24"/>
          <w:lang w:val="en-US" w:eastAsia="zh-CN"/>
        </w:rPr>
        <w:t>d）定量数据的误差幅度需在可控范围内。</w:t>
      </w:r>
    </w:p>
    <w:p>
      <w:pPr>
        <w:spacing w:line="360" w:lineRule="auto"/>
        <w:ind w:firstLine="420" w:firstLineChars="0"/>
        <w:rPr>
          <w:rFonts w:hint="default" w:cs="Times New Roman"/>
          <w:sz w:val="24"/>
          <w:szCs w:val="24"/>
          <w:lang w:val="en-US" w:eastAsia="zh-CN"/>
        </w:rPr>
      </w:pPr>
      <w:r>
        <w:rPr>
          <w:rFonts w:hint="default" w:cs="Times New Roman"/>
          <w:sz w:val="24"/>
          <w:szCs w:val="24"/>
          <w:lang w:val="en-US" w:eastAsia="zh-CN"/>
        </w:rPr>
        <w:t>以温室气体排放这一定量指标为例，建材企业在进行该项指标信息披露时需明确描述：</w:t>
      </w:r>
    </w:p>
    <w:p>
      <w:pPr>
        <w:spacing w:line="360" w:lineRule="auto"/>
        <w:ind w:firstLine="420" w:firstLineChars="0"/>
        <w:rPr>
          <w:rFonts w:hint="default" w:cs="Times New Roman"/>
          <w:sz w:val="24"/>
          <w:szCs w:val="24"/>
          <w:lang w:val="en-US" w:eastAsia="zh-CN"/>
        </w:rPr>
      </w:pPr>
      <w:r>
        <w:rPr>
          <w:rFonts w:hint="default" w:cs="Times New Roman"/>
          <w:sz w:val="24"/>
          <w:szCs w:val="24"/>
          <w:lang w:val="en-US" w:eastAsia="zh-CN"/>
        </w:rPr>
        <w:t>1）温室气体的范畴，是直接（范畴1）温室气体排放、能源间接（范畴2）温室气体排放、其他间接（范畴3）温室气体排放，还是全部包括在内；</w:t>
      </w:r>
    </w:p>
    <w:p>
      <w:pPr>
        <w:spacing w:line="360" w:lineRule="auto"/>
        <w:ind w:firstLine="420" w:firstLineChars="0"/>
        <w:rPr>
          <w:rFonts w:hint="default" w:cs="Times New Roman"/>
          <w:sz w:val="24"/>
          <w:szCs w:val="24"/>
          <w:lang w:val="en-US" w:eastAsia="zh-CN"/>
        </w:rPr>
      </w:pPr>
      <w:r>
        <w:rPr>
          <w:rFonts w:hint="default" w:cs="Times New Roman"/>
          <w:sz w:val="24"/>
          <w:szCs w:val="24"/>
          <w:lang w:val="en-US" w:eastAsia="zh-CN"/>
        </w:rPr>
        <w:t>2）温室气体的边界，是CO2、CH4、N2O、HFC、PFC、SF6、NF3，还是全部包括在内；</w:t>
      </w:r>
    </w:p>
    <w:p>
      <w:pPr>
        <w:spacing w:line="360" w:lineRule="auto"/>
        <w:ind w:firstLine="420" w:firstLineChars="0"/>
        <w:rPr>
          <w:rFonts w:hint="default" w:cs="Times New Roman"/>
          <w:sz w:val="24"/>
          <w:szCs w:val="24"/>
          <w:lang w:val="en-US" w:eastAsia="zh-CN"/>
        </w:rPr>
      </w:pPr>
      <w:r>
        <w:rPr>
          <w:rFonts w:hint="default" w:cs="Times New Roman"/>
          <w:sz w:val="24"/>
          <w:szCs w:val="24"/>
          <w:lang w:val="en-US" w:eastAsia="zh-CN"/>
        </w:rPr>
        <w:t>3）用于计算的基准年；</w:t>
      </w:r>
    </w:p>
    <w:p>
      <w:pPr>
        <w:spacing w:line="360" w:lineRule="auto"/>
        <w:ind w:firstLine="420" w:firstLineChars="0"/>
        <w:rPr>
          <w:rFonts w:hint="default" w:cs="Times New Roman"/>
          <w:sz w:val="24"/>
          <w:szCs w:val="24"/>
          <w:lang w:val="en-US" w:eastAsia="zh-CN"/>
        </w:rPr>
      </w:pPr>
      <w:r>
        <w:rPr>
          <w:rFonts w:hint="default" w:cs="Times New Roman"/>
          <w:sz w:val="24"/>
          <w:szCs w:val="24"/>
          <w:lang w:val="en-US" w:eastAsia="zh-CN"/>
        </w:rPr>
        <w:t>4）排放因子的来源，以及使用的全球变暖潜能值（GWP），或对GWP来源的引用；</w:t>
      </w:r>
    </w:p>
    <w:p>
      <w:pPr>
        <w:spacing w:line="360" w:lineRule="auto"/>
        <w:ind w:firstLine="420" w:firstLineChars="0"/>
        <w:rPr>
          <w:rFonts w:hint="default" w:cs="Times New Roman"/>
          <w:sz w:val="24"/>
          <w:szCs w:val="24"/>
          <w:lang w:val="en-US" w:eastAsia="zh-CN"/>
        </w:rPr>
      </w:pPr>
      <w:r>
        <w:rPr>
          <w:rFonts w:hint="default" w:cs="Times New Roman"/>
          <w:sz w:val="24"/>
          <w:szCs w:val="24"/>
          <w:lang w:val="en-US" w:eastAsia="zh-CN"/>
        </w:rPr>
        <w:t>5）使用的标准、方法、假设和计算工具。</w:t>
      </w:r>
    </w:p>
    <w:p>
      <w:pPr>
        <w:pStyle w:val="4"/>
        <w:rPr>
          <w:rFonts w:hint="default" w:ascii="Times New Roman" w:hAnsi="Times New Roman"/>
          <w:lang w:val="en-US" w:eastAsia="zh-CN"/>
        </w:rPr>
      </w:pPr>
      <w:r>
        <w:rPr>
          <w:rFonts w:hint="default" w:ascii="Times New Roman" w:hAnsi="Times New Roman"/>
          <w:lang w:eastAsia="zh-CN"/>
        </w:rPr>
        <w:t>2</w:t>
      </w:r>
      <w:r>
        <w:rPr>
          <w:rFonts w:hint="eastAsia" w:ascii="Times New Roman" w:hAnsi="Times New Roman"/>
          <w:lang w:val="en-US" w:eastAsia="zh-Hans"/>
        </w:rPr>
        <w:t>.</w:t>
      </w:r>
      <w:r>
        <w:rPr>
          <w:rFonts w:hint="default" w:ascii="Times New Roman" w:hAnsi="Times New Roman"/>
          <w:lang w:eastAsia="zh-Hans"/>
        </w:rPr>
        <w:t>5</w:t>
      </w:r>
      <w:r>
        <w:rPr>
          <w:rFonts w:hint="default" w:ascii="Times New Roman" w:hAnsi="Times New Roman"/>
          <w:lang w:val="en-US" w:eastAsia="zh-CN"/>
        </w:rPr>
        <w:t>.</w:t>
      </w:r>
      <w:r>
        <w:rPr>
          <w:rFonts w:hint="eastAsia" w:ascii="Times New Roman" w:hAnsi="Times New Roman"/>
          <w:lang w:val="en-US" w:eastAsia="zh-CN"/>
        </w:rPr>
        <w:t>4</w:t>
      </w:r>
      <w:r>
        <w:rPr>
          <w:rFonts w:hint="default" w:ascii="Times New Roman" w:hAnsi="Times New Roman"/>
          <w:lang w:val="en-US" w:eastAsia="zh-CN"/>
        </w:rPr>
        <w:t xml:space="preserve"> 真实性</w:t>
      </w:r>
    </w:p>
    <w:p>
      <w:pPr>
        <w:spacing w:line="360" w:lineRule="auto"/>
        <w:ind w:firstLine="420" w:firstLineChars="0"/>
        <w:rPr>
          <w:rFonts w:hint="default" w:cs="Times New Roman"/>
          <w:sz w:val="24"/>
          <w:szCs w:val="24"/>
          <w:lang w:val="en-US" w:eastAsia="zh-CN"/>
        </w:rPr>
      </w:pPr>
      <w:r>
        <w:rPr>
          <w:rFonts w:hint="default" w:cs="Times New Roman"/>
          <w:sz w:val="24"/>
          <w:szCs w:val="24"/>
          <w:lang w:val="en-US" w:eastAsia="zh-CN"/>
        </w:rPr>
        <w:t>真实性原则是指企业披露的信息应以客观事实或具有事实基础的判断和意见为依据，不应有虚假、不实陈述或隐瞒重要事实。企业披露的信息内容应真实呈现其实际表现（正面和负面），避免因挑选、遗漏信息而影响利益相关方的决策或判断。</w:t>
      </w:r>
    </w:p>
    <w:p>
      <w:pPr>
        <w:spacing w:line="360" w:lineRule="auto"/>
        <w:ind w:firstLine="420" w:firstLineChars="0"/>
        <w:rPr>
          <w:rFonts w:hint="default" w:cs="Times New Roman"/>
          <w:sz w:val="24"/>
          <w:szCs w:val="24"/>
          <w:lang w:val="en-US" w:eastAsia="zh-CN"/>
        </w:rPr>
      </w:pPr>
      <w:r>
        <w:rPr>
          <w:rFonts w:hint="default" w:cs="Times New Roman"/>
          <w:sz w:val="24"/>
          <w:szCs w:val="24"/>
          <w:lang w:val="en-US" w:eastAsia="zh-CN"/>
        </w:rPr>
        <w:t>企业应确定报告中的信息的原始来源，证明原始数据和信息的准确度在可接受的误差范围内。对于披露的定量数据，应提供可靠的证据来支持假设或复杂的计算。</w:t>
      </w:r>
    </w:p>
    <w:p>
      <w:pPr>
        <w:pStyle w:val="4"/>
        <w:rPr>
          <w:rFonts w:hint="default" w:ascii="Times New Roman" w:hAnsi="Times New Roman"/>
          <w:lang w:val="en-US" w:eastAsia="zh-CN"/>
        </w:rPr>
      </w:pPr>
      <w:r>
        <w:rPr>
          <w:rFonts w:hint="default" w:ascii="Times New Roman" w:hAnsi="Times New Roman"/>
          <w:lang w:eastAsia="zh-CN"/>
        </w:rPr>
        <w:t>2</w:t>
      </w:r>
      <w:r>
        <w:rPr>
          <w:rFonts w:hint="eastAsia" w:ascii="Times New Roman" w:hAnsi="Times New Roman"/>
          <w:lang w:val="en-US" w:eastAsia="zh-Hans"/>
        </w:rPr>
        <w:t>.</w:t>
      </w:r>
      <w:r>
        <w:rPr>
          <w:rFonts w:hint="default" w:ascii="Times New Roman" w:hAnsi="Times New Roman"/>
          <w:lang w:eastAsia="zh-Hans"/>
        </w:rPr>
        <w:t>5</w:t>
      </w:r>
      <w:r>
        <w:rPr>
          <w:rFonts w:hint="default" w:ascii="Times New Roman" w:hAnsi="Times New Roman"/>
          <w:lang w:val="en-US" w:eastAsia="zh-CN"/>
        </w:rPr>
        <w:t>.</w:t>
      </w:r>
      <w:r>
        <w:rPr>
          <w:rFonts w:hint="eastAsia" w:ascii="Times New Roman" w:hAnsi="Times New Roman"/>
          <w:lang w:val="en-US" w:eastAsia="zh-CN"/>
        </w:rPr>
        <w:t>5</w:t>
      </w:r>
      <w:r>
        <w:rPr>
          <w:rFonts w:hint="default" w:ascii="Times New Roman" w:hAnsi="Times New Roman"/>
          <w:lang w:val="en-US" w:eastAsia="zh-CN"/>
        </w:rPr>
        <w:t xml:space="preserve"> 可比性</w:t>
      </w:r>
    </w:p>
    <w:p>
      <w:pPr>
        <w:spacing w:line="360" w:lineRule="auto"/>
        <w:ind w:firstLine="420" w:firstLineChars="0"/>
        <w:rPr>
          <w:rFonts w:hint="default" w:cs="Times New Roman"/>
          <w:sz w:val="24"/>
          <w:szCs w:val="24"/>
          <w:lang w:val="en-US" w:eastAsia="zh-CN"/>
        </w:rPr>
      </w:pPr>
      <w:r>
        <w:rPr>
          <w:rFonts w:hint="default" w:cs="Times New Roman"/>
          <w:sz w:val="24"/>
          <w:szCs w:val="24"/>
          <w:lang w:val="en-US" w:eastAsia="zh-CN"/>
        </w:rPr>
        <w:t>可比性原则是指企业应以一致的方式选择、编辑和披露ESG信息。所披露的信息应满足两个维度：既能让利益相关方纵向分析企业的历史表现，又能相对其他企业进行横向对比分析。</w:t>
      </w:r>
    </w:p>
    <w:p>
      <w:pPr>
        <w:spacing w:line="360" w:lineRule="auto"/>
        <w:ind w:firstLine="420" w:firstLineChars="0"/>
        <w:rPr>
          <w:rFonts w:hint="default" w:cs="Times New Roman"/>
          <w:sz w:val="24"/>
          <w:szCs w:val="24"/>
          <w:lang w:val="en-US" w:eastAsia="zh-CN"/>
        </w:rPr>
      </w:pPr>
      <w:r>
        <w:rPr>
          <w:rFonts w:hint="default" w:cs="Times New Roman"/>
          <w:sz w:val="24"/>
          <w:szCs w:val="24"/>
          <w:lang w:val="en-US" w:eastAsia="zh-CN"/>
        </w:rPr>
        <w:t>考虑到企业的规模、地理位置影响等因素，企业在披露信息时，应提供相关背景，以便于读者理解企业之间的差异。</w:t>
      </w:r>
    </w:p>
    <w:p>
      <w:pPr>
        <w:spacing w:line="360" w:lineRule="auto"/>
        <w:ind w:firstLine="420" w:firstLineChars="0"/>
        <w:rPr>
          <w:rFonts w:hint="default" w:cs="Times New Roman"/>
          <w:sz w:val="24"/>
          <w:szCs w:val="24"/>
          <w:lang w:val="en-US" w:eastAsia="zh-CN"/>
        </w:rPr>
      </w:pPr>
      <w:r>
        <w:rPr>
          <w:rFonts w:hint="default" w:cs="Times New Roman"/>
          <w:sz w:val="24"/>
          <w:szCs w:val="24"/>
          <w:lang w:val="en-US" w:eastAsia="zh-CN"/>
        </w:rPr>
        <w:t>企业披露的信息应囊括计算数据所使用的方法，并对信息编制所使用的方法和假设进行说明。</w:t>
      </w:r>
    </w:p>
    <w:p>
      <w:pPr>
        <w:spacing w:line="360" w:lineRule="auto"/>
        <w:ind w:firstLine="420" w:firstLineChars="0"/>
        <w:rPr>
          <w:rFonts w:hint="default" w:cs="Times New Roman"/>
          <w:sz w:val="24"/>
          <w:szCs w:val="24"/>
          <w:lang w:val="en-US" w:eastAsia="zh-CN"/>
        </w:rPr>
      </w:pPr>
      <w:r>
        <w:rPr>
          <w:rFonts w:hint="default" w:cs="Times New Roman"/>
          <w:sz w:val="24"/>
          <w:szCs w:val="24"/>
          <w:lang w:val="en-US" w:eastAsia="zh-CN"/>
        </w:rPr>
        <w:t>以建材重点行业水泥企业为例，水泥企业在披露ESG信息时，应当使用统一的边界和计算依据，以保证其行业可比性。然而，相比于玻璃、陶瓷等行业，水泥行业污染物排放较大。因而水泥企业在披露ESG信息时，应描述相关背景，便于第三方评级机构等利益相关方理解其中差异。</w:t>
      </w:r>
    </w:p>
    <w:p>
      <w:pPr>
        <w:pStyle w:val="3"/>
        <w:spacing w:line="360" w:lineRule="auto"/>
        <w:rPr>
          <w:rFonts w:hint="eastAsia"/>
          <w:lang w:val="en-US" w:eastAsia="zh-CN"/>
        </w:rPr>
      </w:pPr>
      <w:r>
        <w:rPr>
          <w:rFonts w:hint="eastAsia"/>
        </w:rPr>
        <w:t>2.</w:t>
      </w:r>
      <w:r>
        <w:rPr>
          <w:rFonts w:hint="eastAsia"/>
          <w:lang w:val="en-US" w:eastAsia="zh-CN"/>
        </w:rPr>
        <w:t>6</w:t>
      </w:r>
      <w:r>
        <w:rPr>
          <w:rFonts w:hint="eastAsia"/>
        </w:rPr>
        <w:t xml:space="preserve"> </w:t>
      </w:r>
      <w:r>
        <w:rPr>
          <w:rFonts w:hint="eastAsia"/>
          <w:lang w:val="en-US" w:eastAsia="zh-CN"/>
        </w:rPr>
        <w:t>披露要求</w:t>
      </w:r>
    </w:p>
    <w:p>
      <w:pPr>
        <w:pStyle w:val="4"/>
        <w:rPr>
          <w:rFonts w:hint="default" w:ascii="Times New Roman" w:hAnsi="Times New Roman"/>
          <w:lang w:val="en-US" w:eastAsia="zh-CN"/>
        </w:rPr>
      </w:pPr>
      <w:r>
        <w:rPr>
          <w:rFonts w:hint="default" w:ascii="Times New Roman" w:hAnsi="Times New Roman"/>
          <w:lang w:eastAsia="zh-CN"/>
        </w:rPr>
        <w:t>2</w:t>
      </w:r>
      <w:r>
        <w:rPr>
          <w:rFonts w:hint="eastAsia" w:ascii="Times New Roman" w:hAnsi="Times New Roman"/>
          <w:lang w:val="en-US" w:eastAsia="zh-Hans"/>
        </w:rPr>
        <w:t>.</w:t>
      </w:r>
      <w:r>
        <w:rPr>
          <w:rFonts w:hint="eastAsia" w:ascii="Times New Roman" w:hAnsi="Times New Roman"/>
          <w:lang w:val="en-US" w:eastAsia="zh-CN"/>
        </w:rPr>
        <w:t>6.1</w:t>
      </w:r>
      <w:r>
        <w:rPr>
          <w:rFonts w:hint="default" w:ascii="Times New Roman" w:hAnsi="Times New Roman"/>
          <w:lang w:val="en-US" w:eastAsia="zh-CN"/>
        </w:rPr>
        <w:t xml:space="preserve"> 建筑材料企业ESG信息披露框架</w:t>
      </w:r>
    </w:p>
    <w:p>
      <w:pPr>
        <w:spacing w:line="360" w:lineRule="auto"/>
        <w:ind w:firstLine="480" w:firstLineChars="200"/>
        <w:rPr>
          <w:rFonts w:hint="default" w:ascii="Times New Roman" w:hAnsi="Times New Roman" w:eastAsia="宋体" w:cs="Times New Roman"/>
          <w:sz w:val="24"/>
          <w:szCs w:val="24"/>
          <w:lang w:val="en-US" w:eastAsia="zh-CN"/>
        </w:rPr>
      </w:pPr>
      <w:r>
        <w:rPr>
          <w:rFonts w:ascii="Times New Roman" w:hAnsi="Times New Roman" w:eastAsia="宋体" w:cs="Times New Roman"/>
          <w:sz w:val="24"/>
          <w:szCs w:val="24"/>
        </w:rPr>
        <w:t>本文件</w:t>
      </w:r>
      <w:bookmarkEnd w:id="3"/>
      <w:r>
        <w:rPr>
          <w:rFonts w:hint="eastAsia" w:eastAsia="宋体" w:cs="Times New Roman"/>
          <w:sz w:val="24"/>
          <w:szCs w:val="24"/>
          <w:lang w:val="en-US" w:eastAsia="zh-Hans"/>
        </w:rPr>
        <w:t>对标国际上</w:t>
      </w:r>
      <w:r>
        <w:rPr>
          <w:rFonts w:hint="default" w:eastAsia="宋体" w:cs="Times New Roman"/>
          <w:sz w:val="24"/>
          <w:szCs w:val="24"/>
          <w:lang w:eastAsia="zh-Hans"/>
        </w:rPr>
        <w:t>ISO 26000</w:t>
      </w:r>
      <w:r>
        <w:rPr>
          <w:rFonts w:hint="eastAsia" w:eastAsia="宋体" w:cs="Times New Roman"/>
          <w:sz w:val="24"/>
          <w:szCs w:val="24"/>
          <w:lang w:val="en-US" w:eastAsia="zh-Hans"/>
        </w:rPr>
        <w:t>社会责任指引</w:t>
      </w:r>
      <w:r>
        <w:rPr>
          <w:rFonts w:hint="default" w:eastAsia="宋体" w:cs="Times New Roman"/>
          <w:sz w:val="24"/>
          <w:szCs w:val="24"/>
          <w:lang w:eastAsia="zh-Hans"/>
        </w:rPr>
        <w:t>、GRI</w:t>
      </w:r>
      <w:r>
        <w:rPr>
          <w:rFonts w:hint="eastAsia" w:eastAsia="宋体" w:cs="Times New Roman"/>
          <w:sz w:val="24"/>
          <w:szCs w:val="24"/>
          <w:lang w:val="en-US" w:eastAsia="zh-Hans"/>
        </w:rPr>
        <w:t>可持续发展报告报告指引</w:t>
      </w:r>
      <w:r>
        <w:rPr>
          <w:rFonts w:hint="default" w:eastAsia="宋体" w:cs="Times New Roman"/>
          <w:sz w:val="24"/>
          <w:szCs w:val="24"/>
          <w:lang w:eastAsia="zh-Hans"/>
        </w:rPr>
        <w:t>、SASB</w:t>
      </w:r>
      <w:r>
        <w:rPr>
          <w:rFonts w:hint="eastAsia" w:eastAsia="宋体" w:cs="Times New Roman"/>
          <w:sz w:val="24"/>
          <w:szCs w:val="24"/>
          <w:lang w:val="en-US" w:eastAsia="zh-Hans"/>
        </w:rPr>
        <w:t>可持续会计指引</w:t>
      </w:r>
      <w:r>
        <w:rPr>
          <w:rFonts w:hint="default" w:eastAsia="宋体" w:cs="Times New Roman"/>
          <w:sz w:val="24"/>
          <w:szCs w:val="24"/>
          <w:lang w:eastAsia="zh-Hans"/>
        </w:rPr>
        <w:t>、ISSB</w:t>
      </w:r>
      <w:r>
        <w:rPr>
          <w:rFonts w:hint="eastAsia" w:eastAsia="宋体" w:cs="Times New Roman"/>
          <w:sz w:val="24"/>
          <w:szCs w:val="24"/>
          <w:lang w:val="en-US" w:eastAsia="zh-Hans"/>
        </w:rPr>
        <w:t>可持续发展披露准则</w:t>
      </w:r>
      <w:r>
        <w:rPr>
          <w:rFonts w:hint="default" w:eastAsia="宋体" w:cs="Times New Roman"/>
          <w:sz w:val="24"/>
          <w:szCs w:val="24"/>
          <w:lang w:eastAsia="zh-Hans"/>
        </w:rPr>
        <w:t>、CDP</w:t>
      </w:r>
      <w:r>
        <w:rPr>
          <w:rFonts w:hint="eastAsia" w:eastAsia="宋体" w:cs="Times New Roman"/>
          <w:sz w:val="24"/>
          <w:szCs w:val="24"/>
          <w:lang w:val="en-US" w:eastAsia="zh-Hans"/>
        </w:rPr>
        <w:t>碳信息披露框架</w:t>
      </w:r>
      <w:r>
        <w:rPr>
          <w:rFonts w:hint="default" w:eastAsia="宋体" w:cs="Times New Roman"/>
          <w:sz w:val="24"/>
          <w:szCs w:val="24"/>
          <w:lang w:eastAsia="zh-Hans"/>
        </w:rPr>
        <w:t>、TCFD</w:t>
      </w:r>
      <w:r>
        <w:rPr>
          <w:rFonts w:hint="eastAsia" w:eastAsia="宋体" w:cs="Times New Roman"/>
          <w:sz w:val="24"/>
          <w:szCs w:val="24"/>
          <w:lang w:val="en-US" w:eastAsia="zh-Hans"/>
        </w:rPr>
        <w:t>四要素气候信息披露框架</w:t>
      </w:r>
      <w:r>
        <w:rPr>
          <w:rFonts w:hint="default" w:eastAsia="宋体" w:cs="Times New Roman"/>
          <w:sz w:val="24"/>
          <w:szCs w:val="24"/>
          <w:lang w:eastAsia="zh-Hans"/>
        </w:rPr>
        <w:t>、CDSB</w:t>
      </w:r>
      <w:r>
        <w:rPr>
          <w:rFonts w:hint="eastAsia" w:eastAsia="宋体" w:cs="Times New Roman"/>
          <w:sz w:val="24"/>
          <w:szCs w:val="24"/>
          <w:lang w:val="en-US" w:eastAsia="zh-Hans"/>
        </w:rPr>
        <w:t>环境与气候变化披露框架等主流信息披露框架</w:t>
      </w:r>
      <w:r>
        <w:rPr>
          <w:rFonts w:hint="default" w:eastAsia="宋体" w:cs="Times New Roman"/>
          <w:sz w:val="24"/>
          <w:szCs w:val="24"/>
          <w:lang w:eastAsia="zh-Hans"/>
        </w:rPr>
        <w:t>，</w:t>
      </w:r>
      <w:r>
        <w:rPr>
          <w:rFonts w:hint="eastAsia" w:eastAsia="宋体" w:cs="Times New Roman"/>
          <w:sz w:val="24"/>
          <w:szCs w:val="24"/>
          <w:lang w:val="en-US" w:eastAsia="zh-Hans"/>
        </w:rPr>
        <w:t>以及部分国内</w:t>
      </w:r>
      <w:r>
        <w:rPr>
          <w:rFonts w:hint="default" w:eastAsia="宋体" w:cs="Times New Roman"/>
          <w:sz w:val="24"/>
          <w:szCs w:val="24"/>
          <w:lang w:eastAsia="zh-Hans"/>
        </w:rPr>
        <w:t>ESG</w:t>
      </w:r>
      <w:r>
        <w:rPr>
          <w:rFonts w:hint="eastAsia" w:eastAsia="宋体" w:cs="Times New Roman"/>
          <w:sz w:val="24"/>
          <w:szCs w:val="24"/>
          <w:lang w:val="en-US" w:eastAsia="zh-Hans"/>
        </w:rPr>
        <w:t>信息披露原则</w:t>
      </w:r>
      <w:r>
        <w:rPr>
          <w:rFonts w:hint="default" w:eastAsia="宋体" w:cs="Times New Roman"/>
          <w:sz w:val="24"/>
          <w:szCs w:val="24"/>
          <w:lang w:eastAsia="zh-Hans"/>
        </w:rPr>
        <w:t>，</w:t>
      </w:r>
      <w:r>
        <w:rPr>
          <w:rFonts w:hint="eastAsia" w:eastAsia="宋体" w:cs="Times New Roman"/>
          <w:sz w:val="24"/>
          <w:szCs w:val="24"/>
          <w:lang w:val="en-US" w:eastAsia="zh-Hans"/>
        </w:rPr>
        <w:t>如生态环境部发布的</w:t>
      </w:r>
      <w:r>
        <w:rPr>
          <w:rFonts w:hint="default" w:eastAsia="宋体" w:cs="Times New Roman"/>
          <w:sz w:val="24"/>
          <w:szCs w:val="24"/>
          <w:lang w:eastAsia="zh-Hans"/>
        </w:rPr>
        <w:t>《</w:t>
      </w:r>
      <w:r>
        <w:rPr>
          <w:rFonts w:hint="eastAsia" w:eastAsia="宋体" w:cs="Times New Roman"/>
          <w:sz w:val="24"/>
          <w:szCs w:val="24"/>
          <w:lang w:val="en-US" w:eastAsia="zh-Hans"/>
        </w:rPr>
        <w:t>企业环境信息依法披露管理办法</w:t>
      </w:r>
      <w:r>
        <w:rPr>
          <w:rFonts w:hint="default" w:eastAsia="宋体" w:cs="Times New Roman"/>
          <w:sz w:val="24"/>
          <w:szCs w:val="24"/>
          <w:lang w:eastAsia="zh-Hans"/>
        </w:rPr>
        <w:t>》、</w:t>
      </w:r>
      <w:r>
        <w:rPr>
          <w:rFonts w:hint="eastAsia" w:eastAsia="宋体" w:cs="Times New Roman"/>
          <w:sz w:val="24"/>
          <w:szCs w:val="24"/>
          <w:lang w:val="en-US" w:eastAsia="zh-Hans"/>
        </w:rPr>
        <w:t>联交所发布的</w:t>
      </w:r>
      <w:r>
        <w:rPr>
          <w:rFonts w:hint="default" w:eastAsia="宋体" w:cs="Times New Roman"/>
          <w:sz w:val="24"/>
          <w:szCs w:val="24"/>
          <w:lang w:eastAsia="zh-Hans"/>
        </w:rPr>
        <w:t>《</w:t>
      </w:r>
      <w:r>
        <w:rPr>
          <w:rFonts w:hint="eastAsia" w:eastAsia="宋体" w:cs="Times New Roman"/>
          <w:sz w:val="24"/>
          <w:szCs w:val="24"/>
          <w:lang w:val="en-US" w:eastAsia="zh-Hans"/>
        </w:rPr>
        <w:t>环境</w:t>
      </w:r>
      <w:r>
        <w:rPr>
          <w:rFonts w:hint="default" w:eastAsia="宋体" w:cs="Times New Roman"/>
          <w:sz w:val="24"/>
          <w:szCs w:val="24"/>
          <w:lang w:eastAsia="zh-Hans"/>
        </w:rPr>
        <w:t>、</w:t>
      </w:r>
      <w:r>
        <w:rPr>
          <w:rFonts w:hint="eastAsia" w:eastAsia="宋体" w:cs="Times New Roman"/>
          <w:sz w:val="24"/>
          <w:szCs w:val="24"/>
          <w:lang w:val="en-US" w:eastAsia="zh-Hans"/>
        </w:rPr>
        <w:t>社会及管制报告指引</w:t>
      </w:r>
      <w:r>
        <w:rPr>
          <w:rFonts w:hint="default" w:eastAsia="宋体" w:cs="Times New Roman"/>
          <w:sz w:val="24"/>
          <w:szCs w:val="24"/>
          <w:lang w:eastAsia="zh-Hans"/>
        </w:rPr>
        <w:t>》、</w:t>
      </w:r>
      <w:r>
        <w:rPr>
          <w:rFonts w:hint="eastAsia" w:eastAsia="宋体" w:cs="Times New Roman"/>
          <w:sz w:val="24"/>
          <w:szCs w:val="24"/>
          <w:lang w:val="en-US" w:eastAsia="zh-Hans"/>
        </w:rPr>
        <w:t>中国社会科学院编写的</w:t>
      </w:r>
      <w:r>
        <w:rPr>
          <w:rFonts w:hint="default" w:eastAsia="宋体" w:cs="Times New Roman"/>
          <w:sz w:val="24"/>
          <w:szCs w:val="24"/>
          <w:lang w:eastAsia="zh-Hans"/>
        </w:rPr>
        <w:t>《</w:t>
      </w:r>
      <w:r>
        <w:rPr>
          <w:rFonts w:hint="eastAsia" w:eastAsia="宋体" w:cs="Times New Roman"/>
          <w:sz w:val="24"/>
          <w:szCs w:val="24"/>
          <w:lang w:val="en-US" w:eastAsia="zh-Hans"/>
        </w:rPr>
        <w:t>中国企业社会责任报告编写指南</w:t>
      </w:r>
      <w:r>
        <w:rPr>
          <w:rFonts w:hint="default" w:eastAsia="宋体" w:cs="Times New Roman"/>
          <w:sz w:val="24"/>
          <w:szCs w:val="24"/>
          <w:lang w:eastAsia="zh-Hans"/>
        </w:rPr>
        <w:t>（CASS-CSR）》、</w:t>
      </w:r>
      <w:r>
        <w:rPr>
          <w:rFonts w:hint="eastAsia" w:eastAsia="宋体" w:cs="Times New Roman"/>
          <w:sz w:val="24"/>
          <w:szCs w:val="24"/>
          <w:lang w:val="en-US" w:eastAsia="zh-Hans"/>
        </w:rPr>
        <w:t>首都经济贸易大学制修订的</w:t>
      </w:r>
      <w:r>
        <w:rPr>
          <w:rFonts w:hint="default" w:eastAsia="宋体" w:cs="Times New Roman"/>
          <w:sz w:val="24"/>
          <w:szCs w:val="24"/>
          <w:lang w:eastAsia="zh-Hans"/>
        </w:rPr>
        <w:t>《</w:t>
      </w:r>
      <w:r>
        <w:rPr>
          <w:rFonts w:hint="eastAsia" w:eastAsia="宋体" w:cs="Times New Roman"/>
          <w:sz w:val="24"/>
          <w:szCs w:val="24"/>
          <w:lang w:val="en-US" w:eastAsia="zh-Hans"/>
        </w:rPr>
        <w:t>企业</w:t>
      </w:r>
      <w:r>
        <w:rPr>
          <w:rFonts w:hint="default" w:eastAsia="宋体" w:cs="Times New Roman"/>
          <w:sz w:val="24"/>
          <w:szCs w:val="24"/>
          <w:lang w:eastAsia="zh-Hans"/>
        </w:rPr>
        <w:t>ESG</w:t>
      </w:r>
      <w:r>
        <w:rPr>
          <w:rFonts w:hint="eastAsia" w:eastAsia="宋体" w:cs="Times New Roman"/>
          <w:sz w:val="24"/>
          <w:szCs w:val="24"/>
          <w:lang w:val="en-US" w:eastAsia="zh-Hans"/>
        </w:rPr>
        <w:t>披露指南</w:t>
      </w:r>
      <w:r>
        <w:rPr>
          <w:rFonts w:hint="default" w:eastAsia="宋体" w:cs="Times New Roman"/>
          <w:sz w:val="24"/>
          <w:szCs w:val="24"/>
          <w:lang w:eastAsia="zh-Hans"/>
        </w:rPr>
        <w:t>》</w:t>
      </w:r>
      <w:r>
        <w:rPr>
          <w:rFonts w:hint="eastAsia" w:eastAsia="宋体" w:cs="Times New Roman"/>
          <w:sz w:val="24"/>
          <w:szCs w:val="24"/>
          <w:lang w:val="en-US" w:eastAsia="zh-Hans"/>
        </w:rPr>
        <w:t>以及中国化工信息中心发布的</w:t>
      </w:r>
      <w:r>
        <w:rPr>
          <w:rFonts w:hint="default" w:eastAsia="宋体" w:cs="Times New Roman"/>
          <w:sz w:val="24"/>
          <w:szCs w:val="24"/>
          <w:lang w:eastAsia="zh-Hans"/>
        </w:rPr>
        <w:t>《</w:t>
      </w:r>
      <w:r>
        <w:rPr>
          <w:rFonts w:hint="eastAsia" w:eastAsia="宋体" w:cs="Times New Roman"/>
          <w:sz w:val="24"/>
          <w:szCs w:val="24"/>
          <w:lang w:val="en-US" w:eastAsia="zh-Hans"/>
        </w:rPr>
        <w:t>中国石油和化工行业上市公司</w:t>
      </w:r>
      <w:r>
        <w:rPr>
          <w:rFonts w:hint="default" w:eastAsia="宋体" w:cs="Times New Roman"/>
          <w:sz w:val="24"/>
          <w:szCs w:val="24"/>
          <w:lang w:eastAsia="zh-Hans"/>
        </w:rPr>
        <w:t>ESG</w:t>
      </w:r>
      <w:r>
        <w:rPr>
          <w:rFonts w:hint="eastAsia" w:eastAsia="宋体" w:cs="Times New Roman"/>
          <w:sz w:val="24"/>
          <w:szCs w:val="24"/>
          <w:lang w:val="en-US" w:eastAsia="zh-Hans"/>
        </w:rPr>
        <w:t>评价指南</w:t>
      </w:r>
      <w:r>
        <w:rPr>
          <w:rFonts w:hint="default" w:eastAsia="宋体" w:cs="Times New Roman"/>
          <w:sz w:val="24"/>
          <w:szCs w:val="24"/>
          <w:lang w:eastAsia="zh-Hans"/>
        </w:rPr>
        <w:t>》</w:t>
      </w:r>
      <w:r>
        <w:rPr>
          <w:rFonts w:hint="eastAsia" w:eastAsia="宋体" w:cs="Times New Roman"/>
          <w:sz w:val="24"/>
          <w:szCs w:val="24"/>
          <w:lang w:val="en-US" w:eastAsia="zh-Hans"/>
        </w:rPr>
        <w:t>等</w:t>
      </w:r>
      <w:r>
        <w:rPr>
          <w:rFonts w:ascii="Times New Roman" w:hAnsi="Times New Roman" w:eastAsia="宋体" w:cs="Times New Roman"/>
          <w:sz w:val="24"/>
          <w:szCs w:val="24"/>
        </w:rPr>
        <w:t>。</w:t>
      </w:r>
      <w:r>
        <w:rPr>
          <w:rFonts w:hint="eastAsia" w:eastAsia="宋体" w:cs="Times New Roman"/>
          <w:sz w:val="24"/>
          <w:szCs w:val="24"/>
          <w:lang w:val="en-US" w:eastAsia="zh-Hans"/>
        </w:rPr>
        <w:t>在</w:t>
      </w:r>
      <w:r>
        <w:rPr>
          <w:rFonts w:hint="eastAsia" w:ascii="Times New Roman" w:hAnsi="Times New Roman" w:eastAsia="宋体" w:cs="Times New Roman"/>
          <w:sz w:val="24"/>
          <w:szCs w:val="24"/>
        </w:rPr>
        <w:t>充分考虑建材行业特点及发展趋势</w:t>
      </w:r>
      <w:r>
        <w:rPr>
          <w:rFonts w:hint="eastAsia" w:eastAsia="宋体" w:cs="Times New Roman"/>
          <w:sz w:val="24"/>
          <w:szCs w:val="24"/>
          <w:lang w:val="en-US" w:eastAsia="zh-Hans"/>
        </w:rPr>
        <w:t>的基础上</w:t>
      </w:r>
      <w:r>
        <w:rPr>
          <w:rFonts w:hint="default" w:eastAsia="宋体" w:cs="Times New Roman"/>
          <w:sz w:val="24"/>
          <w:szCs w:val="24"/>
          <w:lang w:eastAsia="zh-Hans"/>
        </w:rPr>
        <w:t>，</w:t>
      </w:r>
      <w:r>
        <w:rPr>
          <w:rFonts w:hint="eastAsia" w:eastAsia="宋体" w:cs="Times New Roman"/>
          <w:sz w:val="24"/>
          <w:szCs w:val="24"/>
          <w:lang w:val="en-US" w:eastAsia="zh-Hans"/>
        </w:rPr>
        <w:t>就环境、社会和公司治理三大主题（</w:t>
      </w:r>
      <w:r>
        <w:rPr>
          <w:rFonts w:hint="eastAsia" w:cs="Times New Roman"/>
          <w:sz w:val="24"/>
          <w:szCs w:val="24"/>
          <w:lang w:val="en-US" w:eastAsia="zh-CN"/>
        </w:rPr>
        <w:t>topics</w:t>
      </w:r>
      <w:r>
        <w:rPr>
          <w:rFonts w:hint="eastAsia" w:eastAsia="宋体" w:cs="Times New Roman"/>
          <w:sz w:val="24"/>
          <w:szCs w:val="24"/>
          <w:lang w:val="en-US" w:eastAsia="zh-Hans"/>
        </w:rPr>
        <w:t>）提出1</w:t>
      </w:r>
      <w:r>
        <w:rPr>
          <w:rFonts w:hint="eastAsia" w:cs="Times New Roman"/>
          <w:sz w:val="24"/>
          <w:szCs w:val="24"/>
          <w:lang w:val="en-US" w:eastAsia="zh-CN"/>
        </w:rPr>
        <w:t>2</w:t>
      </w:r>
      <w:r>
        <w:rPr>
          <w:rFonts w:hint="eastAsia" w:eastAsia="宋体" w:cs="Times New Roman"/>
          <w:sz w:val="24"/>
          <w:szCs w:val="24"/>
          <w:lang w:val="en-US" w:eastAsia="zh-Hans"/>
        </w:rPr>
        <w:t>个议题（</w:t>
      </w:r>
      <w:r>
        <w:rPr>
          <w:rFonts w:hint="eastAsia" w:cs="Times New Roman"/>
          <w:sz w:val="24"/>
          <w:szCs w:val="24"/>
          <w:lang w:val="en-US" w:eastAsia="zh-CN"/>
        </w:rPr>
        <w:t>issues</w:t>
      </w:r>
      <w:r>
        <w:rPr>
          <w:rFonts w:hint="eastAsia" w:eastAsia="宋体" w:cs="Times New Roman"/>
          <w:sz w:val="24"/>
          <w:szCs w:val="24"/>
          <w:lang w:val="en-US" w:eastAsia="zh-Hans"/>
        </w:rPr>
        <w:t>）和</w:t>
      </w:r>
      <w:r>
        <w:rPr>
          <w:rFonts w:hint="eastAsia" w:cs="Times New Roman"/>
          <w:sz w:val="24"/>
          <w:szCs w:val="24"/>
          <w:lang w:val="en-US" w:eastAsia="zh-CN"/>
        </w:rPr>
        <w:t>33个专题披露项（indicators）</w:t>
      </w:r>
      <w:r>
        <w:rPr>
          <w:rFonts w:hint="default" w:eastAsia="宋体" w:cs="Times New Roman"/>
          <w:sz w:val="24"/>
          <w:szCs w:val="24"/>
          <w:lang w:eastAsia="zh-Hans"/>
        </w:rPr>
        <w:t>，</w:t>
      </w:r>
      <w:r>
        <w:rPr>
          <w:rFonts w:hint="eastAsia" w:cs="Times New Roman"/>
          <w:sz w:val="24"/>
          <w:szCs w:val="24"/>
          <w:lang w:val="en-US" w:eastAsia="zh-CN"/>
        </w:rPr>
        <w:t>见表2。专题披露项又分基础披露项与建议披露项，原则上企业应响应所有基础披露项，若无法披露基础披露项应在报告中予以解释；企业宜按实际情况有选择性地响应建议披露项。以建筑原材料为主营业务以及以建筑部品制品为主营业务的企业在参照通用指标体系框架的基础上，应按议题下的特定行业指南要求进行信息披露。该指标体系</w:t>
      </w:r>
      <w:r>
        <w:rPr>
          <w:rFonts w:hint="default" w:eastAsia="宋体" w:cs="Times New Roman"/>
          <w:sz w:val="24"/>
          <w:szCs w:val="24"/>
          <w:lang w:eastAsia="zh-Hans"/>
        </w:rPr>
        <w:t>为建材行业企业的ESG信息披露提供指南性意见和建议，以引领行业的可持续发展。</w:t>
      </w:r>
    </w:p>
    <w:p>
      <w:pPr>
        <w:spacing w:line="360" w:lineRule="auto"/>
        <w:ind w:firstLine="420" w:firstLineChars="200"/>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表 2 建筑材料企业ESG信息披露框架</w:t>
      </w:r>
    </w:p>
    <w:tbl>
      <w:tblPr>
        <w:tblStyle w:val="24"/>
        <w:tblW w:w="8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8"/>
        <w:gridCol w:w="644"/>
        <w:gridCol w:w="2680"/>
        <w:gridCol w:w="724"/>
        <w:gridCol w:w="3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blHeader/>
          <w:jc w:val="center"/>
        </w:trPr>
        <w:tc>
          <w:tcPr>
            <w:tcW w:w="1028" w:type="dxa"/>
            <w:tcBorders>
              <w:top w:val="single" w:color="auto" w:sz="8" w:space="0"/>
              <w:left w:val="nil"/>
              <w:bottom w:val="single" w:color="auto" w:sz="8" w:space="0"/>
              <w:right w:val="nil"/>
            </w:tcBorders>
            <w:shd w:val="clear" w:color="auto" w:fill="auto"/>
            <w:vAlign w:val="center"/>
          </w:tcPr>
          <w:p>
            <w:pPr>
              <w:spacing w:line="240" w:lineRule="auto"/>
              <w:jc w:val="center"/>
              <w:rPr>
                <w:rFonts w:hint="default"/>
                <w:b/>
                <w:bCs/>
                <w:sz w:val="18"/>
                <w:szCs w:val="18"/>
                <w:lang w:val="en-US" w:eastAsia="zh-CN"/>
              </w:rPr>
            </w:pPr>
            <w:r>
              <w:rPr>
                <w:rFonts w:hint="eastAsia"/>
                <w:b/>
                <w:bCs/>
                <w:sz w:val="18"/>
                <w:szCs w:val="18"/>
                <w:lang w:val="en-US" w:eastAsia="zh-CN"/>
              </w:rPr>
              <w:t>主题（topics）</w:t>
            </w:r>
          </w:p>
        </w:tc>
        <w:tc>
          <w:tcPr>
            <w:tcW w:w="644" w:type="dxa"/>
            <w:tcBorders>
              <w:top w:val="single" w:color="auto" w:sz="8" w:space="0"/>
              <w:left w:val="nil"/>
              <w:bottom w:val="single" w:color="auto" w:sz="8" w:space="0"/>
              <w:right w:val="nil"/>
            </w:tcBorders>
            <w:shd w:val="clear" w:color="auto" w:fill="auto"/>
            <w:vAlign w:val="center"/>
          </w:tcPr>
          <w:p>
            <w:pPr>
              <w:spacing w:line="240" w:lineRule="auto"/>
              <w:jc w:val="center"/>
              <w:rPr>
                <w:rFonts w:hint="default"/>
                <w:b/>
                <w:bCs/>
                <w:sz w:val="18"/>
                <w:szCs w:val="18"/>
                <w:lang w:val="en-US" w:eastAsia="zh-CN"/>
              </w:rPr>
            </w:pPr>
            <w:r>
              <w:rPr>
                <w:rFonts w:hint="eastAsia"/>
                <w:b/>
                <w:bCs/>
                <w:sz w:val="18"/>
                <w:szCs w:val="18"/>
                <w:lang w:val="en-US" w:eastAsia="zh-CN"/>
              </w:rPr>
              <w:t>序号</w:t>
            </w:r>
          </w:p>
        </w:tc>
        <w:tc>
          <w:tcPr>
            <w:tcW w:w="2680" w:type="dxa"/>
            <w:tcBorders>
              <w:top w:val="single" w:color="auto" w:sz="8" w:space="0"/>
              <w:left w:val="nil"/>
              <w:bottom w:val="single" w:color="auto" w:sz="8" w:space="0"/>
              <w:right w:val="nil"/>
            </w:tcBorders>
            <w:shd w:val="clear" w:color="auto" w:fill="auto"/>
            <w:vAlign w:val="center"/>
          </w:tcPr>
          <w:p>
            <w:pPr>
              <w:spacing w:line="240" w:lineRule="auto"/>
              <w:jc w:val="center"/>
              <w:rPr>
                <w:rFonts w:hint="default"/>
                <w:b/>
                <w:bCs/>
                <w:sz w:val="18"/>
                <w:szCs w:val="18"/>
                <w:lang w:val="en-US" w:eastAsia="zh-CN"/>
              </w:rPr>
            </w:pPr>
            <w:r>
              <w:rPr>
                <w:rFonts w:hint="eastAsia"/>
                <w:b/>
                <w:bCs/>
                <w:sz w:val="18"/>
                <w:szCs w:val="18"/>
                <w:lang w:val="en-US" w:eastAsia="zh-CN"/>
              </w:rPr>
              <w:t>议题（issues）</w:t>
            </w:r>
          </w:p>
        </w:tc>
        <w:tc>
          <w:tcPr>
            <w:tcW w:w="724" w:type="dxa"/>
            <w:tcBorders>
              <w:top w:val="single" w:color="auto" w:sz="8" w:space="0"/>
              <w:left w:val="nil"/>
              <w:bottom w:val="single" w:color="auto" w:sz="8" w:space="0"/>
              <w:right w:val="nil"/>
            </w:tcBorders>
            <w:shd w:val="clear" w:color="auto" w:fill="auto"/>
            <w:vAlign w:val="center"/>
          </w:tcPr>
          <w:p>
            <w:pPr>
              <w:spacing w:line="240" w:lineRule="auto"/>
              <w:jc w:val="center"/>
              <w:rPr>
                <w:rFonts w:hint="default"/>
                <w:b/>
                <w:bCs/>
                <w:sz w:val="18"/>
                <w:szCs w:val="18"/>
                <w:lang w:val="en-US" w:eastAsia="zh-CN"/>
              </w:rPr>
            </w:pPr>
            <w:r>
              <w:rPr>
                <w:rFonts w:hint="eastAsia"/>
                <w:b/>
                <w:bCs/>
                <w:sz w:val="18"/>
                <w:szCs w:val="18"/>
                <w:lang w:val="en-US" w:eastAsia="zh-CN"/>
              </w:rPr>
              <w:t>序号</w:t>
            </w:r>
          </w:p>
        </w:tc>
        <w:tc>
          <w:tcPr>
            <w:tcW w:w="3812" w:type="dxa"/>
            <w:tcBorders>
              <w:top w:val="single" w:color="auto" w:sz="8" w:space="0"/>
              <w:left w:val="nil"/>
              <w:bottom w:val="single" w:color="auto" w:sz="8" w:space="0"/>
              <w:right w:val="nil"/>
            </w:tcBorders>
            <w:shd w:val="clear" w:color="auto" w:fill="auto"/>
            <w:vAlign w:val="center"/>
          </w:tcPr>
          <w:p>
            <w:pPr>
              <w:spacing w:line="240" w:lineRule="auto"/>
              <w:jc w:val="center"/>
              <w:rPr>
                <w:rFonts w:hint="default"/>
                <w:b/>
                <w:bCs/>
                <w:sz w:val="18"/>
                <w:szCs w:val="18"/>
                <w:lang w:val="en-US" w:eastAsia="zh-CN"/>
              </w:rPr>
            </w:pPr>
            <w:r>
              <w:rPr>
                <w:rFonts w:hint="eastAsia"/>
                <w:b/>
                <w:bCs/>
                <w:sz w:val="18"/>
                <w:szCs w:val="18"/>
                <w:lang w:val="en-US" w:eastAsia="zh-CN"/>
              </w:rPr>
              <w:t>专题披露项（indicators）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restart"/>
            <w:tcBorders>
              <w:top w:val="single" w:color="auto" w:sz="8" w:space="0"/>
              <w:left w:val="nil"/>
              <w:right w:val="nil"/>
            </w:tcBorders>
            <w:shd w:val="clear" w:color="auto" w:fill="auto"/>
            <w:vAlign w:val="center"/>
          </w:tcPr>
          <w:p>
            <w:pPr>
              <w:spacing w:line="240" w:lineRule="auto"/>
              <w:jc w:val="center"/>
              <w:rPr>
                <w:rFonts w:hint="eastAsia"/>
                <w:b w:val="0"/>
                <w:bCs w:val="0"/>
                <w:sz w:val="18"/>
                <w:szCs w:val="18"/>
                <w:lang w:val="en-US" w:eastAsia="zh-CN"/>
              </w:rPr>
            </w:pPr>
            <w:r>
              <w:rPr>
                <w:rFonts w:hint="eastAsia"/>
                <w:b w:val="0"/>
                <w:bCs w:val="0"/>
                <w:sz w:val="18"/>
                <w:szCs w:val="18"/>
                <w:lang w:val="en-US" w:eastAsia="zh-CN"/>
              </w:rPr>
              <w:t>环境</w:t>
            </w:r>
          </w:p>
          <w:p>
            <w:pPr>
              <w:spacing w:line="240" w:lineRule="auto"/>
              <w:jc w:val="center"/>
              <w:rPr>
                <w:rFonts w:hint="default"/>
                <w:b w:val="0"/>
                <w:bCs w:val="0"/>
                <w:sz w:val="18"/>
                <w:szCs w:val="18"/>
                <w:lang w:val="en-US" w:eastAsia="zh-CN"/>
              </w:rPr>
            </w:pPr>
            <w:r>
              <w:rPr>
                <w:rFonts w:hint="eastAsia"/>
                <w:b w:val="0"/>
                <w:bCs w:val="0"/>
                <w:sz w:val="18"/>
                <w:szCs w:val="18"/>
                <w:lang w:val="en-US" w:eastAsia="zh-CN"/>
              </w:rPr>
              <w:t>(6)</w:t>
            </w:r>
          </w:p>
        </w:tc>
        <w:tc>
          <w:tcPr>
            <w:tcW w:w="644" w:type="dxa"/>
            <w:vMerge w:val="restart"/>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E-1</w:t>
            </w:r>
          </w:p>
        </w:tc>
        <w:tc>
          <w:tcPr>
            <w:tcW w:w="2680" w:type="dxa"/>
            <w:vMerge w:val="restart"/>
            <w:tcBorders>
              <w:top w:val="single" w:color="auto" w:sz="8" w:space="0"/>
              <w:left w:val="nil"/>
              <w:right w:val="nil"/>
            </w:tcBorders>
            <w:shd w:val="clear" w:color="auto" w:fill="auto"/>
            <w:vAlign w:val="center"/>
          </w:tcPr>
          <w:p>
            <w:pPr>
              <w:spacing w:line="240" w:lineRule="auto"/>
              <w:jc w:val="left"/>
              <w:rPr>
                <w:rFonts w:hint="default"/>
                <w:b w:val="0"/>
                <w:bCs w:val="0"/>
                <w:sz w:val="18"/>
                <w:szCs w:val="18"/>
                <w:lang w:val="en-US" w:eastAsia="zh-CN"/>
              </w:rPr>
            </w:pPr>
            <w:r>
              <w:rPr>
                <w:rFonts w:hint="eastAsia"/>
                <w:b w:val="0"/>
                <w:bCs w:val="0"/>
                <w:sz w:val="18"/>
                <w:szCs w:val="18"/>
                <w:lang w:val="en-US" w:eastAsia="zh-CN"/>
              </w:rPr>
              <w:t>气候变化（6.1）</w:t>
            </w: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温室气体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default"/>
                <w:b w:val="0"/>
                <w:bCs w:val="0"/>
                <w:sz w:val="18"/>
                <w:szCs w:val="18"/>
                <w:lang w:val="en-US" w:eastAsia="zh-CN"/>
              </w:rPr>
            </w:pPr>
          </w:p>
        </w:tc>
        <w:tc>
          <w:tcPr>
            <w:tcW w:w="644" w:type="dxa"/>
            <w:vMerge w:val="continue"/>
            <w:tcBorders>
              <w:left w:val="nil"/>
              <w:right w:val="nil"/>
            </w:tcBorders>
            <w:shd w:val="clear" w:color="auto" w:fill="auto"/>
            <w:vAlign w:val="center"/>
          </w:tcPr>
          <w:p>
            <w:pPr>
              <w:spacing w:line="240" w:lineRule="auto"/>
              <w:jc w:val="center"/>
              <w:rPr>
                <w:rFonts w:hint="default"/>
                <w:b w:val="0"/>
                <w:bCs w:val="0"/>
                <w:sz w:val="18"/>
                <w:szCs w:val="18"/>
                <w:lang w:val="en-US" w:eastAsia="zh-CN"/>
              </w:rPr>
            </w:pPr>
          </w:p>
        </w:tc>
        <w:tc>
          <w:tcPr>
            <w:tcW w:w="2680" w:type="dxa"/>
            <w:vMerge w:val="continue"/>
            <w:tcBorders>
              <w:left w:val="nil"/>
              <w:right w:val="nil"/>
            </w:tcBorders>
            <w:shd w:val="clear" w:color="auto" w:fill="auto"/>
            <w:vAlign w:val="center"/>
          </w:tcPr>
          <w:p>
            <w:pPr>
              <w:spacing w:line="240" w:lineRule="auto"/>
              <w:jc w:val="left"/>
              <w:rPr>
                <w:rFonts w:hint="default"/>
                <w:b w:val="0"/>
                <w:bCs w:val="0"/>
                <w:sz w:val="18"/>
                <w:szCs w:val="18"/>
                <w:lang w:val="en-US" w:eastAsia="zh-CN"/>
              </w:rPr>
            </w:pP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能源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restart"/>
            <w:tcBorders>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E-2</w:t>
            </w:r>
          </w:p>
        </w:tc>
        <w:tc>
          <w:tcPr>
            <w:tcW w:w="2680" w:type="dxa"/>
            <w:vMerge w:val="restart"/>
            <w:tcBorders>
              <w:left w:val="nil"/>
              <w:right w:val="nil"/>
            </w:tcBorders>
            <w:shd w:val="clear" w:color="auto" w:fill="auto"/>
            <w:vAlign w:val="center"/>
          </w:tcPr>
          <w:p>
            <w:pPr>
              <w:spacing w:line="240" w:lineRule="auto"/>
              <w:jc w:val="left"/>
              <w:rPr>
                <w:rFonts w:hint="eastAsia"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污染物与废弃物（6.2）</w:t>
            </w:r>
          </w:p>
        </w:tc>
        <w:tc>
          <w:tcPr>
            <w:tcW w:w="724" w:type="dxa"/>
            <w:tcBorders>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lang w:val="en-US" w:eastAsia="zh-CN"/>
              </w:rPr>
            </w:pPr>
          </w:p>
        </w:tc>
        <w:tc>
          <w:tcPr>
            <w:tcW w:w="3812" w:type="dxa"/>
            <w:tcBorders>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环境管理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rPr>
                <w:sz w:val="18"/>
                <w:szCs w:val="18"/>
              </w:rPr>
            </w:pPr>
          </w:p>
        </w:tc>
        <w:tc>
          <w:tcPr>
            <w:tcW w:w="724" w:type="dxa"/>
            <w:tcBorders>
              <w:left w:val="nil"/>
              <w:right w:val="nil"/>
            </w:tcBorders>
            <w:shd w:val="clear" w:color="auto" w:fill="auto"/>
            <w:vAlign w:val="center"/>
          </w:tcPr>
          <w:p>
            <w:pPr>
              <w:numPr>
                <w:ilvl w:val="0"/>
                <w:numId w:val="3"/>
              </w:numPr>
              <w:spacing w:line="240" w:lineRule="auto"/>
              <w:ind w:left="425" w:leftChars="0" w:hanging="425" w:firstLineChars="0"/>
              <w:jc w:val="center"/>
              <w:rPr>
                <w:rFonts w:hint="default"/>
                <w:sz w:val="18"/>
                <w:szCs w:val="18"/>
                <w:lang w:val="en-US" w:eastAsia="zh-CN"/>
              </w:rPr>
            </w:pPr>
          </w:p>
        </w:tc>
        <w:tc>
          <w:tcPr>
            <w:tcW w:w="3812" w:type="dxa"/>
            <w:tcBorders>
              <w:left w:val="nil"/>
              <w:right w:val="nil"/>
            </w:tcBorders>
            <w:shd w:val="clear" w:color="auto" w:fill="auto"/>
            <w:vAlign w:val="center"/>
          </w:tcPr>
          <w:p>
            <w:pPr>
              <w:spacing w:line="240" w:lineRule="auto"/>
              <w:jc w:val="center"/>
              <w:rPr>
                <w:rFonts w:hint="eastAsia"/>
                <w:sz w:val="18"/>
                <w:szCs w:val="18"/>
                <w:lang w:val="en-US" w:eastAsia="zh-CN"/>
              </w:rPr>
            </w:pPr>
            <w:r>
              <w:rPr>
                <w:rFonts w:hint="eastAsia"/>
                <w:b w:val="0"/>
                <w:bCs w:val="0"/>
                <w:sz w:val="18"/>
                <w:szCs w:val="18"/>
                <w:lang w:val="en-US" w:eastAsia="zh-CN"/>
              </w:rPr>
              <w:t>大气污染物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rPr>
                <w:sz w:val="18"/>
                <w:szCs w:val="18"/>
              </w:rPr>
            </w:pPr>
          </w:p>
        </w:tc>
        <w:tc>
          <w:tcPr>
            <w:tcW w:w="724" w:type="dxa"/>
            <w:tcBorders>
              <w:left w:val="nil"/>
              <w:right w:val="nil"/>
            </w:tcBorders>
            <w:shd w:val="clear" w:color="auto" w:fill="auto"/>
            <w:vAlign w:val="center"/>
          </w:tcPr>
          <w:p>
            <w:pPr>
              <w:numPr>
                <w:ilvl w:val="0"/>
                <w:numId w:val="3"/>
              </w:numPr>
              <w:spacing w:line="240" w:lineRule="auto"/>
              <w:ind w:left="425" w:leftChars="0" w:hanging="425" w:firstLineChars="0"/>
              <w:jc w:val="center"/>
              <w:rPr>
                <w:rFonts w:hint="default"/>
                <w:sz w:val="18"/>
                <w:szCs w:val="18"/>
                <w:lang w:val="en-US" w:eastAsia="zh-CN"/>
              </w:rPr>
            </w:pPr>
          </w:p>
        </w:tc>
        <w:tc>
          <w:tcPr>
            <w:tcW w:w="3812" w:type="dxa"/>
            <w:tcBorders>
              <w:left w:val="nil"/>
              <w:right w:val="nil"/>
            </w:tcBorders>
            <w:shd w:val="clear" w:color="auto" w:fill="auto"/>
            <w:vAlign w:val="center"/>
          </w:tcPr>
          <w:p>
            <w:pPr>
              <w:spacing w:line="240" w:lineRule="auto"/>
              <w:jc w:val="center"/>
              <w:rPr>
                <w:rFonts w:hint="eastAsia" w:eastAsia="宋体"/>
                <w:sz w:val="18"/>
                <w:szCs w:val="18"/>
                <w:lang w:val="en-US" w:eastAsia="zh-CN"/>
              </w:rPr>
            </w:pPr>
            <w:r>
              <w:rPr>
                <w:rFonts w:hint="eastAsia"/>
                <w:sz w:val="18"/>
                <w:szCs w:val="18"/>
                <w:lang w:val="en-US" w:eastAsia="zh-CN"/>
              </w:rPr>
              <w:t>水体污染物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rPr>
                <w:sz w:val="18"/>
                <w:szCs w:val="18"/>
              </w:rPr>
            </w:pPr>
          </w:p>
        </w:tc>
        <w:tc>
          <w:tcPr>
            <w:tcW w:w="724" w:type="dxa"/>
            <w:tcBorders>
              <w:left w:val="nil"/>
              <w:right w:val="nil"/>
            </w:tcBorders>
            <w:shd w:val="clear" w:color="auto" w:fill="auto"/>
            <w:vAlign w:val="center"/>
          </w:tcPr>
          <w:p>
            <w:pPr>
              <w:numPr>
                <w:ilvl w:val="0"/>
                <w:numId w:val="3"/>
              </w:numPr>
              <w:spacing w:line="240" w:lineRule="auto"/>
              <w:ind w:left="425" w:leftChars="0" w:hanging="425" w:firstLineChars="0"/>
              <w:jc w:val="center"/>
              <w:rPr>
                <w:rFonts w:hint="default"/>
                <w:sz w:val="18"/>
                <w:szCs w:val="18"/>
                <w:lang w:val="en-US" w:eastAsia="zh-CN"/>
              </w:rPr>
            </w:pPr>
          </w:p>
        </w:tc>
        <w:tc>
          <w:tcPr>
            <w:tcW w:w="3812" w:type="dxa"/>
            <w:tcBorders>
              <w:left w:val="nil"/>
              <w:right w:val="nil"/>
            </w:tcBorders>
            <w:shd w:val="clear" w:color="auto" w:fill="auto"/>
            <w:vAlign w:val="center"/>
          </w:tcPr>
          <w:p>
            <w:pPr>
              <w:spacing w:line="240" w:lineRule="auto"/>
              <w:jc w:val="center"/>
              <w:rPr>
                <w:rFonts w:hint="default"/>
                <w:sz w:val="18"/>
                <w:szCs w:val="18"/>
                <w:lang w:val="en-US" w:eastAsia="zh-CN"/>
              </w:rPr>
            </w:pPr>
            <w:r>
              <w:rPr>
                <w:rFonts w:hint="eastAsia"/>
                <w:sz w:val="18"/>
                <w:szCs w:val="18"/>
                <w:lang w:val="en-US" w:eastAsia="zh-CN"/>
              </w:rPr>
              <w:t>有毒、有害物质使用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rPr>
                <w:sz w:val="18"/>
                <w:szCs w:val="18"/>
              </w:rPr>
            </w:pPr>
          </w:p>
        </w:tc>
        <w:tc>
          <w:tcPr>
            <w:tcW w:w="724" w:type="dxa"/>
            <w:tcBorders>
              <w:left w:val="nil"/>
              <w:right w:val="nil"/>
            </w:tcBorders>
            <w:shd w:val="clear" w:color="auto" w:fill="auto"/>
            <w:vAlign w:val="center"/>
          </w:tcPr>
          <w:p>
            <w:pPr>
              <w:numPr>
                <w:ilvl w:val="0"/>
                <w:numId w:val="3"/>
              </w:numPr>
              <w:spacing w:line="240" w:lineRule="auto"/>
              <w:ind w:left="425" w:leftChars="0" w:hanging="425" w:firstLineChars="0"/>
              <w:jc w:val="center"/>
              <w:rPr>
                <w:rFonts w:hint="default"/>
                <w:sz w:val="18"/>
                <w:szCs w:val="18"/>
                <w:lang w:val="en-US" w:eastAsia="zh-CN"/>
              </w:rPr>
            </w:pPr>
          </w:p>
        </w:tc>
        <w:tc>
          <w:tcPr>
            <w:tcW w:w="3812" w:type="dxa"/>
            <w:tcBorders>
              <w:left w:val="nil"/>
              <w:right w:val="nil"/>
            </w:tcBorders>
            <w:shd w:val="clear" w:color="auto" w:fill="auto"/>
            <w:vAlign w:val="center"/>
          </w:tcPr>
          <w:p>
            <w:pPr>
              <w:spacing w:line="240" w:lineRule="auto"/>
              <w:jc w:val="center"/>
              <w:rPr>
                <w:rFonts w:hint="eastAsia" w:eastAsia="宋体"/>
                <w:sz w:val="18"/>
                <w:szCs w:val="18"/>
                <w:lang w:val="en-US" w:eastAsia="zh-CN"/>
              </w:rPr>
            </w:pPr>
            <w:r>
              <w:rPr>
                <w:rFonts w:hint="eastAsia"/>
                <w:sz w:val="18"/>
                <w:szCs w:val="18"/>
                <w:lang w:val="en-US" w:eastAsia="zh-CN"/>
              </w:rPr>
              <w:t>固体废弃物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restart"/>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E-3</w:t>
            </w:r>
          </w:p>
        </w:tc>
        <w:tc>
          <w:tcPr>
            <w:tcW w:w="2680" w:type="dxa"/>
            <w:vMerge w:val="restart"/>
            <w:tcBorders>
              <w:top w:val="single" w:color="auto" w:sz="8" w:space="0"/>
              <w:left w:val="nil"/>
              <w:right w:val="nil"/>
            </w:tcBorders>
            <w:shd w:val="clear" w:color="auto" w:fill="auto"/>
            <w:vAlign w:val="center"/>
          </w:tcPr>
          <w:p>
            <w:pPr>
              <w:spacing w:line="240" w:lineRule="auto"/>
              <w:jc w:val="left"/>
              <w:rPr>
                <w:rFonts w:hint="eastAsia"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资源（6.3）</w:t>
            </w: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矿产资源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pP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林木资源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2680" w:type="dxa"/>
            <w:vMerge w:val="continue"/>
            <w:tcBorders>
              <w:left w:val="nil"/>
              <w:right w:val="nil"/>
            </w:tcBorders>
            <w:shd w:val="clear" w:color="auto" w:fill="auto"/>
            <w:vAlign w:val="center"/>
          </w:tcPr>
          <w:p>
            <w:pPr>
              <w:spacing w:line="240" w:lineRule="auto"/>
              <w:jc w:val="left"/>
              <w:rPr>
                <w:rFonts w:hint="eastAsia"/>
                <w:b w:val="0"/>
                <w:bCs w:val="0"/>
                <w:sz w:val="18"/>
                <w:szCs w:val="18"/>
                <w:lang w:val="en-US" w:eastAsia="zh-CN"/>
              </w:rPr>
            </w:pP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水资源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tcBorders>
              <w:left w:val="nil"/>
              <w:bottom w:val="single" w:color="auto" w:sz="8" w:space="0"/>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E-4</w:t>
            </w:r>
          </w:p>
        </w:tc>
        <w:tc>
          <w:tcPr>
            <w:tcW w:w="2680" w:type="dxa"/>
            <w:tcBorders>
              <w:left w:val="nil"/>
              <w:bottom w:val="single" w:color="auto" w:sz="8" w:space="0"/>
              <w:right w:val="nil"/>
            </w:tcBorders>
            <w:shd w:val="clear" w:color="auto" w:fill="auto"/>
            <w:vAlign w:val="center"/>
          </w:tcPr>
          <w:p>
            <w:pPr>
              <w:spacing w:line="240" w:lineRule="auto"/>
              <w:jc w:val="left"/>
              <w:rPr>
                <w:rFonts w:hint="eastAsia"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生物多样性（6.4）</w:t>
            </w:r>
          </w:p>
        </w:tc>
        <w:tc>
          <w:tcPr>
            <w:tcW w:w="724" w:type="dxa"/>
            <w:tcBorders>
              <w:left w:val="nil"/>
              <w:bottom w:val="single" w:color="auto" w:sz="8" w:space="0"/>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lang w:val="en-US" w:eastAsia="zh-CN"/>
              </w:rPr>
            </w:pPr>
          </w:p>
        </w:tc>
        <w:tc>
          <w:tcPr>
            <w:tcW w:w="3812" w:type="dxa"/>
            <w:tcBorders>
              <w:left w:val="nil"/>
              <w:bottom w:val="single" w:color="auto" w:sz="8" w:space="0"/>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生物多样性*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restart"/>
            <w:tcBorders>
              <w:top w:val="single" w:color="auto" w:sz="8" w:space="0"/>
              <w:left w:val="nil"/>
              <w:right w:val="nil"/>
            </w:tcBorders>
            <w:shd w:val="clear" w:color="auto" w:fill="auto"/>
            <w:vAlign w:val="center"/>
          </w:tcPr>
          <w:p>
            <w:pPr>
              <w:spacing w:line="240" w:lineRule="auto"/>
              <w:jc w:val="center"/>
              <w:rPr>
                <w:rFonts w:hint="eastAsia"/>
                <w:b w:val="0"/>
                <w:bCs w:val="0"/>
                <w:sz w:val="18"/>
                <w:szCs w:val="18"/>
                <w:lang w:val="en-US" w:eastAsia="zh-CN"/>
              </w:rPr>
            </w:pPr>
            <w:r>
              <w:rPr>
                <w:rFonts w:hint="eastAsia"/>
                <w:b w:val="0"/>
                <w:bCs w:val="0"/>
                <w:sz w:val="18"/>
                <w:szCs w:val="18"/>
                <w:lang w:val="en-US" w:eastAsia="zh-CN"/>
              </w:rPr>
              <w:t>社会</w:t>
            </w:r>
          </w:p>
          <w:p>
            <w:pPr>
              <w:spacing w:line="240" w:lineRule="auto"/>
              <w:jc w:val="center"/>
              <w:rPr>
                <w:rFonts w:hint="default"/>
                <w:b w:val="0"/>
                <w:bCs w:val="0"/>
                <w:sz w:val="18"/>
                <w:szCs w:val="18"/>
                <w:lang w:val="en-US" w:eastAsia="zh-CN"/>
              </w:rPr>
            </w:pPr>
            <w:r>
              <w:rPr>
                <w:rFonts w:hint="eastAsia"/>
                <w:b w:val="0"/>
                <w:bCs w:val="0"/>
                <w:sz w:val="18"/>
                <w:szCs w:val="18"/>
                <w:lang w:val="en-US" w:eastAsia="zh-CN"/>
              </w:rPr>
              <w:t>(7)</w:t>
            </w:r>
          </w:p>
        </w:tc>
        <w:tc>
          <w:tcPr>
            <w:tcW w:w="644" w:type="dxa"/>
            <w:vMerge w:val="restart"/>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S-1</w:t>
            </w:r>
          </w:p>
        </w:tc>
        <w:tc>
          <w:tcPr>
            <w:tcW w:w="2680" w:type="dxa"/>
            <w:vMerge w:val="restart"/>
            <w:tcBorders>
              <w:top w:val="single" w:color="auto" w:sz="8" w:space="0"/>
              <w:left w:val="nil"/>
              <w:right w:val="nil"/>
            </w:tcBorders>
            <w:shd w:val="clear" w:color="auto" w:fill="auto"/>
            <w:vAlign w:val="center"/>
          </w:tcPr>
          <w:p>
            <w:pPr>
              <w:spacing w:line="240" w:lineRule="auto"/>
              <w:jc w:val="left"/>
              <w:rPr>
                <w:rFonts w:hint="default"/>
                <w:b w:val="0"/>
                <w:bCs w:val="0"/>
                <w:sz w:val="18"/>
                <w:szCs w:val="18"/>
                <w:lang w:val="en-US" w:eastAsia="zh-CN"/>
              </w:rPr>
            </w:pPr>
            <w:r>
              <w:rPr>
                <w:rFonts w:hint="eastAsia"/>
                <w:b w:val="0"/>
                <w:bCs w:val="0"/>
                <w:sz w:val="18"/>
                <w:szCs w:val="18"/>
                <w:lang w:val="en-US" w:eastAsia="zh-CN"/>
              </w:rPr>
              <w:t>职业健康安全和工作条件（7.1）</w:t>
            </w: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职业健康安全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bottom w:val="single" w:color="auto" w:sz="8" w:space="0"/>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pP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工作条件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top w:val="single" w:color="auto" w:sz="8" w:space="0"/>
              <w:left w:val="nil"/>
              <w:bottom w:val="single" w:color="auto" w:sz="8" w:space="0"/>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restart"/>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S-2</w:t>
            </w:r>
          </w:p>
        </w:tc>
        <w:tc>
          <w:tcPr>
            <w:tcW w:w="2680" w:type="dxa"/>
            <w:vMerge w:val="restart"/>
            <w:tcBorders>
              <w:top w:val="single" w:color="auto" w:sz="8" w:space="0"/>
              <w:left w:val="nil"/>
              <w:right w:val="nil"/>
            </w:tcBorders>
            <w:shd w:val="clear" w:color="auto" w:fill="auto"/>
            <w:vAlign w:val="center"/>
          </w:tcPr>
          <w:p>
            <w:pPr>
              <w:spacing w:line="240" w:lineRule="auto"/>
              <w:jc w:val="left"/>
              <w:rPr>
                <w:rFonts w:hint="default"/>
                <w:b w:val="0"/>
                <w:bCs w:val="0"/>
                <w:sz w:val="18"/>
                <w:szCs w:val="18"/>
                <w:lang w:val="en-US" w:eastAsia="zh-CN"/>
              </w:rPr>
            </w:pPr>
            <w:r>
              <w:rPr>
                <w:rFonts w:hint="eastAsia"/>
                <w:b w:val="0"/>
                <w:bCs w:val="0"/>
                <w:sz w:val="18"/>
                <w:szCs w:val="18"/>
                <w:highlight w:val="none"/>
                <w:lang w:val="en-US" w:eastAsia="zh-CN"/>
              </w:rPr>
              <w:t>劳动关系和职业发展（7.2）</w:t>
            </w: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highlight w:val="none"/>
                <w:lang w:val="en-US" w:eastAsia="zh-CN"/>
              </w:rPr>
            </w:pPr>
            <w:r>
              <w:rPr>
                <w:rFonts w:hint="eastAsia"/>
                <w:b w:val="0"/>
                <w:bCs w:val="0"/>
                <w:sz w:val="18"/>
                <w:szCs w:val="18"/>
                <w:highlight w:val="none"/>
                <w:lang w:val="en-US" w:eastAsia="zh-CN"/>
              </w:rPr>
              <w:t>雇佣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top w:val="single" w:color="auto" w:sz="8" w:space="0"/>
              <w:left w:val="nil"/>
              <w:bottom w:val="single" w:color="auto" w:sz="8" w:space="0"/>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pP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highlight w:val="none"/>
                <w:lang w:val="en-US" w:eastAsia="zh-CN"/>
              </w:rPr>
            </w:pPr>
            <w:r>
              <w:rPr>
                <w:rFonts w:hint="eastAsia"/>
                <w:b w:val="0"/>
                <w:bCs w:val="0"/>
                <w:sz w:val="18"/>
                <w:szCs w:val="18"/>
                <w:highlight w:val="none"/>
                <w:lang w:val="en-US" w:eastAsia="zh-CN"/>
              </w:rPr>
              <w:t>员工管理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top w:val="single" w:color="auto" w:sz="8" w:space="0"/>
              <w:left w:val="nil"/>
              <w:bottom w:val="single" w:color="auto" w:sz="8" w:space="0"/>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pP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highlight w:val="none"/>
                <w:lang w:val="en-US" w:eastAsia="zh-CN"/>
              </w:rPr>
            </w:pPr>
            <w:r>
              <w:rPr>
                <w:rFonts w:hint="eastAsia"/>
                <w:b w:val="0"/>
                <w:bCs w:val="0"/>
                <w:sz w:val="18"/>
                <w:szCs w:val="18"/>
                <w:highlight w:val="none"/>
                <w:lang w:val="en-US" w:eastAsia="zh-CN"/>
              </w:rPr>
              <w:t>员工权益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bottom w:val="single" w:color="auto" w:sz="8" w:space="0"/>
              <w:right w:val="nil"/>
            </w:tcBorders>
            <w:shd w:val="clear" w:color="auto" w:fill="auto"/>
            <w:vAlign w:val="center"/>
          </w:tcPr>
          <w:p>
            <w:pPr>
              <w:spacing w:line="240" w:lineRule="auto"/>
              <w:jc w:val="center"/>
              <w:rPr>
                <w:rFonts w:hint="eastAsia"/>
                <w:b w:val="0"/>
                <w:bCs w:val="0"/>
                <w:sz w:val="18"/>
                <w:szCs w:val="18"/>
                <w:highlight w:val="none"/>
                <w:lang w:val="en-US" w:eastAsia="zh-CN"/>
              </w:rPr>
            </w:pPr>
          </w:p>
        </w:tc>
        <w:tc>
          <w:tcPr>
            <w:tcW w:w="644" w:type="dxa"/>
            <w:vMerge w:val="continue"/>
            <w:tcBorders>
              <w:left w:val="nil"/>
              <w:right w:val="nil"/>
            </w:tcBorders>
            <w:shd w:val="clear" w:color="auto" w:fill="auto"/>
            <w:vAlign w:val="center"/>
          </w:tcPr>
          <w:p>
            <w:pPr>
              <w:spacing w:line="240" w:lineRule="auto"/>
              <w:jc w:val="center"/>
              <w:rPr>
                <w:rFonts w:hint="eastAsia"/>
                <w:b w:val="0"/>
                <w:bCs w:val="0"/>
                <w:sz w:val="18"/>
                <w:szCs w:val="18"/>
                <w:highlight w:val="none"/>
                <w:lang w:val="en-US" w:eastAsia="zh-CN"/>
              </w:rPr>
            </w:pPr>
          </w:p>
        </w:tc>
        <w:tc>
          <w:tcPr>
            <w:tcW w:w="2680" w:type="dxa"/>
            <w:vMerge w:val="continue"/>
            <w:tcBorders>
              <w:left w:val="nil"/>
              <w:right w:val="nil"/>
            </w:tcBorders>
            <w:shd w:val="clear" w:color="auto" w:fill="auto"/>
            <w:vAlign w:val="center"/>
          </w:tcPr>
          <w:p>
            <w:pPr>
              <w:spacing w:line="240" w:lineRule="auto"/>
              <w:jc w:val="left"/>
              <w:rPr>
                <w:rFonts w:hint="eastAsia"/>
                <w:b w:val="0"/>
                <w:bCs w:val="0"/>
                <w:sz w:val="18"/>
                <w:szCs w:val="18"/>
                <w:highlight w:val="none"/>
                <w:lang w:val="en-US" w:eastAsia="zh-CN"/>
              </w:rPr>
            </w:pP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highlight w:val="none"/>
                <w:lang w:val="en-US" w:eastAsia="zh-CN"/>
              </w:rPr>
            </w:pPr>
            <w:r>
              <w:rPr>
                <w:rFonts w:hint="eastAsia"/>
                <w:b w:val="0"/>
                <w:bCs w:val="0"/>
                <w:sz w:val="18"/>
                <w:szCs w:val="18"/>
                <w:highlight w:val="none"/>
                <w:lang w:val="en-US" w:eastAsia="zh-CN"/>
              </w:rPr>
              <w:t>员工职业发展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028" w:type="dxa"/>
            <w:vMerge w:val="continue"/>
            <w:tcBorders>
              <w:left w:val="nil"/>
              <w:bottom w:val="single" w:color="auto" w:sz="8" w:space="0"/>
              <w:right w:val="nil"/>
            </w:tcBorders>
            <w:shd w:val="clear" w:color="auto" w:fill="auto"/>
            <w:vAlign w:val="center"/>
          </w:tcPr>
          <w:p>
            <w:pPr>
              <w:spacing w:line="240" w:lineRule="auto"/>
              <w:jc w:val="center"/>
              <w:rPr>
                <w:rFonts w:hint="eastAsia"/>
                <w:b w:val="0"/>
                <w:bCs w:val="0"/>
                <w:sz w:val="18"/>
                <w:szCs w:val="18"/>
                <w:highlight w:val="none"/>
                <w:lang w:val="en-US" w:eastAsia="zh-CN"/>
              </w:rPr>
            </w:pPr>
          </w:p>
        </w:tc>
        <w:tc>
          <w:tcPr>
            <w:tcW w:w="644" w:type="dxa"/>
            <w:vMerge w:val="restart"/>
            <w:tcBorders>
              <w:left w:val="nil"/>
              <w:right w:val="nil"/>
            </w:tcBorders>
            <w:shd w:val="clear" w:color="auto" w:fill="auto"/>
            <w:vAlign w:val="center"/>
          </w:tcPr>
          <w:p>
            <w:pPr>
              <w:spacing w:line="240" w:lineRule="auto"/>
              <w:jc w:val="center"/>
              <w:rPr>
                <w:rFonts w:hint="eastAsia"/>
                <w:b w:val="0"/>
                <w:bCs w:val="0"/>
                <w:sz w:val="18"/>
                <w:szCs w:val="18"/>
                <w:highlight w:val="none"/>
                <w:lang w:val="en-US" w:eastAsia="zh-CN"/>
              </w:rPr>
            </w:pPr>
            <w:r>
              <w:rPr>
                <w:rFonts w:hint="eastAsia"/>
                <w:b w:val="0"/>
                <w:bCs w:val="0"/>
                <w:sz w:val="18"/>
                <w:szCs w:val="18"/>
                <w:lang w:val="en-US" w:eastAsia="zh-CN"/>
              </w:rPr>
              <w:t>S-3</w:t>
            </w:r>
          </w:p>
        </w:tc>
        <w:tc>
          <w:tcPr>
            <w:tcW w:w="2680" w:type="dxa"/>
            <w:vMerge w:val="restart"/>
            <w:tcBorders>
              <w:left w:val="nil"/>
              <w:right w:val="nil"/>
            </w:tcBorders>
            <w:shd w:val="clear" w:color="auto" w:fill="auto"/>
            <w:vAlign w:val="center"/>
          </w:tcPr>
          <w:p>
            <w:pPr>
              <w:spacing w:line="240" w:lineRule="auto"/>
              <w:jc w:val="left"/>
              <w:rPr>
                <w:rFonts w:hint="eastAsia"/>
                <w:b w:val="0"/>
                <w:bCs w:val="0"/>
                <w:sz w:val="18"/>
                <w:szCs w:val="18"/>
                <w:lang w:val="en-US" w:eastAsia="zh-CN"/>
              </w:rPr>
            </w:pPr>
            <w:r>
              <w:rPr>
                <w:rFonts w:hint="eastAsia"/>
                <w:b w:val="0"/>
                <w:bCs w:val="0"/>
                <w:sz w:val="18"/>
                <w:szCs w:val="18"/>
                <w:lang w:val="en-US" w:eastAsia="zh-CN"/>
              </w:rPr>
              <w:t>产品责任（7.2）</w:t>
            </w: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eastAsia"/>
                <w:b w:val="0"/>
                <w:bCs w:val="0"/>
                <w:sz w:val="18"/>
                <w:szCs w:val="18"/>
                <w:lang w:val="en-US" w:eastAsia="zh-CN"/>
              </w:rPr>
            </w:pPr>
            <w:r>
              <w:rPr>
                <w:rFonts w:hint="eastAsia"/>
                <w:b w:val="0"/>
                <w:bCs w:val="0"/>
                <w:sz w:val="18"/>
                <w:szCs w:val="18"/>
                <w:lang w:val="en-US" w:eastAsia="zh-CN"/>
              </w:rPr>
              <w:t>生产者责任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028" w:type="dxa"/>
            <w:vMerge w:val="continue"/>
            <w:tcBorders>
              <w:left w:val="nil"/>
              <w:bottom w:val="single" w:color="auto" w:sz="8" w:space="0"/>
              <w:right w:val="nil"/>
            </w:tcBorders>
            <w:shd w:val="clear" w:color="auto" w:fill="auto"/>
            <w:vAlign w:val="center"/>
          </w:tcPr>
          <w:p>
            <w:pPr>
              <w:spacing w:line="240" w:lineRule="auto"/>
              <w:jc w:val="center"/>
              <w:rPr>
                <w:rFonts w:hint="eastAsia"/>
                <w:b w:val="0"/>
                <w:bCs w:val="0"/>
                <w:sz w:val="18"/>
                <w:szCs w:val="18"/>
                <w:highlight w:val="none"/>
                <w:lang w:val="en-US" w:eastAsia="zh-CN"/>
              </w:rPr>
            </w:pPr>
          </w:p>
        </w:tc>
        <w:tc>
          <w:tcPr>
            <w:tcW w:w="644" w:type="dxa"/>
            <w:vMerge w:val="continue"/>
            <w:tcBorders>
              <w:left w:val="nil"/>
              <w:right w:val="nil"/>
            </w:tcBorders>
            <w:shd w:val="clear" w:color="auto" w:fill="auto"/>
            <w:vAlign w:val="center"/>
          </w:tcPr>
          <w:p>
            <w:pPr>
              <w:spacing w:line="240" w:lineRule="auto"/>
              <w:jc w:val="center"/>
              <w:rPr>
                <w:rFonts w:hint="eastAsia"/>
                <w:b w:val="0"/>
                <w:bCs w:val="0"/>
                <w:sz w:val="18"/>
                <w:szCs w:val="18"/>
                <w:highlight w:val="none"/>
                <w:lang w:val="en-US" w:eastAsia="zh-CN"/>
              </w:rPr>
            </w:pPr>
          </w:p>
        </w:tc>
        <w:tc>
          <w:tcPr>
            <w:tcW w:w="2680" w:type="dxa"/>
            <w:vMerge w:val="continue"/>
            <w:tcBorders>
              <w:left w:val="nil"/>
              <w:right w:val="nil"/>
            </w:tcBorders>
            <w:shd w:val="clear" w:color="auto" w:fill="auto"/>
            <w:vAlign w:val="center"/>
          </w:tcPr>
          <w:p>
            <w:pPr>
              <w:spacing w:line="240" w:lineRule="auto"/>
              <w:jc w:val="left"/>
              <w:rPr>
                <w:rFonts w:hint="eastAsia"/>
                <w:b w:val="0"/>
                <w:bCs w:val="0"/>
                <w:sz w:val="18"/>
                <w:szCs w:val="18"/>
                <w:lang w:val="en-US" w:eastAsia="zh-CN"/>
              </w:rPr>
            </w:pP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eastAsia"/>
                <w:b w:val="0"/>
                <w:bCs w:val="0"/>
                <w:sz w:val="18"/>
                <w:szCs w:val="18"/>
                <w:lang w:val="en-US" w:eastAsia="zh-CN"/>
              </w:rPr>
            </w:pPr>
            <w:r>
              <w:rPr>
                <w:rFonts w:hint="eastAsia"/>
                <w:b w:val="0"/>
                <w:bCs w:val="0"/>
                <w:sz w:val="18"/>
                <w:szCs w:val="18"/>
                <w:lang w:val="en-US" w:eastAsia="zh-CN"/>
              </w:rPr>
              <w:t>可持续产品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028" w:type="dxa"/>
            <w:vMerge w:val="continue"/>
            <w:tcBorders>
              <w:left w:val="nil"/>
              <w:bottom w:val="single" w:color="auto" w:sz="8" w:space="0"/>
              <w:right w:val="nil"/>
            </w:tcBorders>
            <w:shd w:val="clear" w:color="auto" w:fill="auto"/>
            <w:vAlign w:val="center"/>
          </w:tcPr>
          <w:p>
            <w:pPr>
              <w:spacing w:line="240" w:lineRule="auto"/>
              <w:jc w:val="center"/>
              <w:rPr>
                <w:rFonts w:hint="eastAsia"/>
                <w:b w:val="0"/>
                <w:bCs w:val="0"/>
                <w:sz w:val="18"/>
                <w:szCs w:val="18"/>
                <w:highlight w:val="none"/>
                <w:lang w:val="en-US" w:eastAsia="zh-CN"/>
              </w:rPr>
            </w:pPr>
          </w:p>
        </w:tc>
        <w:tc>
          <w:tcPr>
            <w:tcW w:w="644" w:type="dxa"/>
            <w:vMerge w:val="restart"/>
            <w:tcBorders>
              <w:left w:val="nil"/>
              <w:right w:val="nil"/>
            </w:tcBorders>
            <w:shd w:val="clear" w:color="auto" w:fill="auto"/>
            <w:vAlign w:val="center"/>
          </w:tcPr>
          <w:p>
            <w:pPr>
              <w:spacing w:line="240" w:lineRule="auto"/>
              <w:jc w:val="center"/>
              <w:rPr>
                <w:rFonts w:hint="default"/>
                <w:b w:val="0"/>
                <w:bCs w:val="0"/>
                <w:sz w:val="18"/>
                <w:szCs w:val="18"/>
                <w:highlight w:val="none"/>
                <w:lang w:val="en-US" w:eastAsia="zh-CN"/>
              </w:rPr>
            </w:pPr>
            <w:r>
              <w:rPr>
                <w:rFonts w:hint="eastAsia"/>
                <w:b w:val="0"/>
                <w:bCs w:val="0"/>
                <w:sz w:val="18"/>
                <w:szCs w:val="18"/>
                <w:highlight w:val="none"/>
                <w:lang w:val="en-US" w:eastAsia="zh-CN"/>
              </w:rPr>
              <w:t>S-4</w:t>
            </w:r>
          </w:p>
        </w:tc>
        <w:tc>
          <w:tcPr>
            <w:tcW w:w="2680" w:type="dxa"/>
            <w:vMerge w:val="restart"/>
            <w:tcBorders>
              <w:left w:val="nil"/>
              <w:right w:val="nil"/>
            </w:tcBorders>
            <w:shd w:val="clear" w:color="auto" w:fill="auto"/>
            <w:vAlign w:val="center"/>
          </w:tcPr>
          <w:p>
            <w:pPr>
              <w:spacing w:line="240" w:lineRule="auto"/>
              <w:jc w:val="left"/>
              <w:rPr>
                <w:rFonts w:hint="eastAsia"/>
                <w:b w:val="0"/>
                <w:bCs w:val="0"/>
                <w:sz w:val="18"/>
                <w:szCs w:val="18"/>
                <w:highlight w:val="none"/>
                <w:lang w:val="en-US" w:eastAsia="zh-CN"/>
              </w:rPr>
            </w:pPr>
            <w:r>
              <w:rPr>
                <w:rFonts w:hint="eastAsia"/>
                <w:b w:val="0"/>
                <w:bCs w:val="0"/>
                <w:sz w:val="18"/>
                <w:szCs w:val="18"/>
                <w:lang w:val="en-US" w:eastAsia="zh-CN"/>
              </w:rPr>
              <w:t>供应链管理(7.4)</w:t>
            </w: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eastAsia"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供应商管理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bottom w:val="single" w:color="auto" w:sz="8" w:space="0"/>
              <w:right w:val="nil"/>
            </w:tcBorders>
            <w:shd w:val="clear" w:color="auto" w:fill="auto"/>
            <w:vAlign w:val="center"/>
          </w:tcPr>
          <w:p>
            <w:pPr>
              <w:spacing w:line="240" w:lineRule="auto"/>
              <w:jc w:val="center"/>
              <w:rPr>
                <w:rFonts w:hint="eastAsia"/>
                <w:b w:val="0"/>
                <w:bCs w:val="0"/>
                <w:sz w:val="18"/>
                <w:szCs w:val="18"/>
                <w:highlight w:val="none"/>
                <w:lang w:val="en-US" w:eastAsia="zh-CN"/>
              </w:rPr>
            </w:pPr>
          </w:p>
        </w:tc>
        <w:tc>
          <w:tcPr>
            <w:tcW w:w="644" w:type="dxa"/>
            <w:vMerge w:val="continue"/>
            <w:tcBorders>
              <w:left w:val="nil"/>
              <w:right w:val="nil"/>
            </w:tcBorders>
            <w:shd w:val="clear" w:color="auto" w:fill="auto"/>
            <w:vAlign w:val="center"/>
          </w:tcPr>
          <w:p>
            <w:pPr>
              <w:spacing w:line="240" w:lineRule="auto"/>
              <w:jc w:val="center"/>
              <w:rPr>
                <w:rFonts w:hint="eastAsia"/>
                <w:b w:val="0"/>
                <w:bCs w:val="0"/>
                <w:sz w:val="18"/>
                <w:szCs w:val="18"/>
                <w:highlight w:val="none"/>
                <w:lang w:val="en-US" w:eastAsia="zh-CN"/>
              </w:rPr>
            </w:pPr>
          </w:p>
        </w:tc>
        <w:tc>
          <w:tcPr>
            <w:tcW w:w="2680" w:type="dxa"/>
            <w:vMerge w:val="continue"/>
            <w:tcBorders>
              <w:left w:val="nil"/>
              <w:right w:val="nil"/>
            </w:tcBorders>
            <w:shd w:val="clear" w:color="auto" w:fill="auto"/>
            <w:vAlign w:val="center"/>
          </w:tcPr>
          <w:p>
            <w:pPr>
              <w:spacing w:line="240" w:lineRule="auto"/>
              <w:jc w:val="left"/>
              <w:rPr>
                <w:rFonts w:hint="eastAsia"/>
                <w:b w:val="0"/>
                <w:bCs w:val="0"/>
                <w:sz w:val="18"/>
                <w:szCs w:val="18"/>
                <w:highlight w:val="none"/>
                <w:lang w:val="en-US" w:eastAsia="zh-CN"/>
              </w:rPr>
            </w:pP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eastAsia" w:ascii="Times New Roman" w:hAnsi="Times New Roman" w:eastAsia="宋体" w:cs="Calibri"/>
                <w:b w:val="0"/>
                <w:bCs w:val="0"/>
                <w:kern w:val="2"/>
                <w:sz w:val="18"/>
                <w:szCs w:val="18"/>
                <w:lang w:val="en-US" w:eastAsia="zh-CN" w:bidi="ar-SA"/>
              </w:rPr>
            </w:pPr>
            <w:r>
              <w:rPr>
                <w:rFonts w:hint="eastAsia"/>
                <w:b w:val="0"/>
                <w:bCs w:val="0"/>
                <w:sz w:val="18"/>
                <w:szCs w:val="18"/>
                <w:lang w:val="en-US" w:eastAsia="zh-CN"/>
              </w:rPr>
              <w:t>绿色采购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top w:val="single" w:color="auto" w:sz="8" w:space="0"/>
              <w:left w:val="nil"/>
              <w:bottom w:val="single" w:color="auto" w:sz="8" w:space="0"/>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restart"/>
            <w:tcBorders>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S-5</w:t>
            </w:r>
          </w:p>
        </w:tc>
        <w:tc>
          <w:tcPr>
            <w:tcW w:w="2680" w:type="dxa"/>
            <w:vMerge w:val="restart"/>
            <w:tcBorders>
              <w:left w:val="nil"/>
              <w:right w:val="nil"/>
            </w:tcBorders>
            <w:shd w:val="clear" w:color="auto" w:fill="auto"/>
            <w:vAlign w:val="center"/>
          </w:tcPr>
          <w:p>
            <w:pPr>
              <w:spacing w:line="240" w:lineRule="auto"/>
              <w:jc w:val="left"/>
              <w:rPr>
                <w:rFonts w:hint="default"/>
                <w:b w:val="0"/>
                <w:bCs w:val="0"/>
                <w:sz w:val="18"/>
                <w:szCs w:val="18"/>
                <w:lang w:val="en-US" w:eastAsia="zh-CN"/>
              </w:rPr>
            </w:pPr>
            <w:r>
              <w:rPr>
                <w:rFonts w:hint="eastAsia"/>
                <w:b w:val="0"/>
                <w:bCs w:val="0"/>
                <w:sz w:val="18"/>
                <w:szCs w:val="18"/>
                <w:lang w:val="en-US" w:eastAsia="zh-CN"/>
              </w:rPr>
              <w:t>社区影响（7.5）</w:t>
            </w:r>
          </w:p>
        </w:tc>
        <w:tc>
          <w:tcPr>
            <w:tcW w:w="724" w:type="dxa"/>
            <w:tcBorders>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lang w:val="en-US" w:eastAsia="zh-CN"/>
              </w:rPr>
            </w:pPr>
          </w:p>
        </w:tc>
        <w:tc>
          <w:tcPr>
            <w:tcW w:w="3812" w:type="dxa"/>
            <w:tcBorders>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社区管理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bottom w:val="single" w:color="auto" w:sz="8" w:space="0"/>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pPr>
          </w:p>
        </w:tc>
        <w:tc>
          <w:tcPr>
            <w:tcW w:w="724" w:type="dxa"/>
            <w:tcBorders>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lang w:val="en-US" w:eastAsia="zh-CN"/>
              </w:rPr>
            </w:pPr>
          </w:p>
        </w:tc>
        <w:tc>
          <w:tcPr>
            <w:tcW w:w="3812" w:type="dxa"/>
            <w:tcBorders>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公益投资与捐赠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restart"/>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公司治理（8）</w:t>
            </w:r>
          </w:p>
        </w:tc>
        <w:tc>
          <w:tcPr>
            <w:tcW w:w="644" w:type="dxa"/>
            <w:vMerge w:val="restart"/>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G-1</w:t>
            </w:r>
          </w:p>
        </w:tc>
        <w:tc>
          <w:tcPr>
            <w:tcW w:w="2680" w:type="dxa"/>
            <w:vMerge w:val="restart"/>
            <w:tcBorders>
              <w:top w:val="single" w:color="auto" w:sz="8" w:space="0"/>
              <w:left w:val="nil"/>
              <w:right w:val="nil"/>
            </w:tcBorders>
            <w:shd w:val="clear" w:color="auto" w:fill="auto"/>
            <w:vAlign w:val="center"/>
          </w:tcPr>
          <w:p>
            <w:pPr>
              <w:spacing w:line="240" w:lineRule="auto"/>
              <w:jc w:val="left"/>
              <w:rPr>
                <w:rFonts w:hint="default"/>
                <w:b w:val="0"/>
                <w:bCs w:val="0"/>
                <w:sz w:val="18"/>
                <w:szCs w:val="18"/>
                <w:highlight w:val="none"/>
                <w:lang w:val="en-US" w:eastAsia="zh-CN"/>
              </w:rPr>
            </w:pPr>
            <w:r>
              <w:rPr>
                <w:rFonts w:hint="eastAsia"/>
                <w:b w:val="0"/>
                <w:bCs w:val="0"/>
                <w:sz w:val="18"/>
                <w:szCs w:val="18"/>
                <w:highlight w:val="none"/>
                <w:lang w:val="en-US" w:eastAsia="zh-CN"/>
              </w:rPr>
              <w:t>治理机制（8.1）</w:t>
            </w: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highlight w:val="none"/>
                <w:lang w:val="en-US" w:eastAsia="zh-CN"/>
              </w:rPr>
            </w:pPr>
            <w:r>
              <w:rPr>
                <w:rFonts w:hint="eastAsia"/>
                <w:b w:val="0"/>
                <w:bCs w:val="0"/>
                <w:sz w:val="18"/>
                <w:szCs w:val="18"/>
                <w:highlight w:val="none"/>
                <w:lang w:val="en-US" w:eastAsia="zh-CN"/>
              </w:rPr>
              <w:t>治理架构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2680" w:type="dxa"/>
            <w:vMerge w:val="continue"/>
            <w:tcBorders>
              <w:left w:val="nil"/>
              <w:right w:val="nil"/>
            </w:tcBorders>
            <w:shd w:val="clear" w:color="auto" w:fill="auto"/>
            <w:vAlign w:val="center"/>
          </w:tcPr>
          <w:p>
            <w:pPr>
              <w:spacing w:line="240" w:lineRule="auto"/>
              <w:jc w:val="left"/>
              <w:rPr>
                <w:rFonts w:hint="eastAsia"/>
                <w:b w:val="0"/>
                <w:bCs w:val="0"/>
                <w:sz w:val="18"/>
                <w:szCs w:val="18"/>
                <w:highlight w:val="none"/>
                <w:lang w:val="en-US" w:eastAsia="zh-CN"/>
              </w:rPr>
            </w:pP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highlight w:val="none"/>
                <w:lang w:val="en-US" w:eastAsia="zh-CN"/>
              </w:rPr>
            </w:pPr>
            <w:r>
              <w:rPr>
                <w:rFonts w:hint="eastAsia"/>
                <w:b w:val="0"/>
                <w:bCs w:val="0"/>
                <w:sz w:val="18"/>
                <w:szCs w:val="18"/>
                <w:highlight w:val="none"/>
                <w:lang w:val="en-US" w:eastAsia="zh-CN"/>
              </w:rPr>
              <w:t>合规管理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2680" w:type="dxa"/>
            <w:vMerge w:val="continue"/>
            <w:tcBorders>
              <w:left w:val="nil"/>
              <w:right w:val="nil"/>
            </w:tcBorders>
            <w:shd w:val="clear" w:color="auto" w:fill="auto"/>
            <w:vAlign w:val="center"/>
          </w:tcPr>
          <w:p>
            <w:pPr>
              <w:spacing w:line="240" w:lineRule="auto"/>
              <w:jc w:val="left"/>
              <w:rPr>
                <w:rFonts w:hint="eastAsia"/>
                <w:b w:val="0"/>
                <w:bCs w:val="0"/>
                <w:sz w:val="18"/>
                <w:szCs w:val="18"/>
                <w:highlight w:val="none"/>
                <w:lang w:val="en-US" w:eastAsia="zh-CN"/>
              </w:rPr>
            </w:pP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highlight w:val="none"/>
                <w:lang w:val="en-US" w:eastAsia="zh-CN"/>
              </w:rPr>
            </w:pPr>
            <w:r>
              <w:rPr>
                <w:rFonts w:hint="eastAsia"/>
                <w:b w:val="0"/>
                <w:bCs w:val="0"/>
                <w:sz w:val="18"/>
                <w:szCs w:val="18"/>
                <w:highlight w:val="none"/>
                <w:lang w:val="en-US" w:eastAsia="zh-CN"/>
              </w:rPr>
              <w:t>高管薪酬*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2680" w:type="dxa"/>
            <w:vMerge w:val="continue"/>
            <w:tcBorders>
              <w:left w:val="nil"/>
              <w:right w:val="nil"/>
            </w:tcBorders>
            <w:shd w:val="clear" w:color="auto" w:fill="auto"/>
            <w:vAlign w:val="center"/>
          </w:tcPr>
          <w:p>
            <w:pPr>
              <w:spacing w:line="240" w:lineRule="auto"/>
              <w:jc w:val="left"/>
              <w:rPr>
                <w:rFonts w:hint="eastAsia"/>
                <w:b w:val="0"/>
                <w:bCs w:val="0"/>
                <w:sz w:val="18"/>
                <w:szCs w:val="18"/>
                <w:highlight w:val="none"/>
                <w:lang w:val="en-US" w:eastAsia="zh-CN"/>
              </w:rPr>
            </w:pP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eastAsia"/>
                <w:b w:val="0"/>
                <w:bCs w:val="0"/>
                <w:sz w:val="18"/>
                <w:szCs w:val="18"/>
                <w:highlight w:val="none"/>
                <w:lang w:val="en-US" w:eastAsia="zh-CN"/>
              </w:rPr>
            </w:pPr>
            <w:r>
              <w:rPr>
                <w:rFonts w:hint="eastAsia"/>
                <w:b w:val="0"/>
                <w:bCs w:val="0"/>
                <w:sz w:val="18"/>
                <w:szCs w:val="18"/>
                <w:highlight w:val="none"/>
                <w:lang w:val="en-US" w:eastAsia="zh-CN"/>
              </w:rPr>
              <w:t>ESG管理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pP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highlight w:val="none"/>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highlight w:val="none"/>
                <w:lang w:val="en-US" w:eastAsia="zh-CN"/>
              </w:rPr>
            </w:pPr>
            <w:r>
              <w:rPr>
                <w:rFonts w:hint="eastAsia"/>
                <w:b w:val="0"/>
                <w:bCs w:val="0"/>
                <w:sz w:val="18"/>
                <w:szCs w:val="18"/>
                <w:highlight w:val="none"/>
                <w:lang w:val="en-US" w:eastAsia="zh-CN"/>
              </w:rPr>
              <w:t>风险管理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restart"/>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G-2</w:t>
            </w:r>
          </w:p>
        </w:tc>
        <w:tc>
          <w:tcPr>
            <w:tcW w:w="2680" w:type="dxa"/>
            <w:vMerge w:val="restart"/>
            <w:tcBorders>
              <w:top w:val="single" w:color="auto" w:sz="8" w:space="0"/>
              <w:left w:val="nil"/>
              <w:right w:val="nil"/>
            </w:tcBorders>
            <w:shd w:val="clear" w:color="auto" w:fill="auto"/>
            <w:vAlign w:val="center"/>
          </w:tcPr>
          <w:p>
            <w:pPr>
              <w:spacing w:line="240" w:lineRule="auto"/>
              <w:jc w:val="left"/>
              <w:rPr>
                <w:rFonts w:hint="default"/>
                <w:b w:val="0"/>
                <w:bCs w:val="0"/>
                <w:sz w:val="18"/>
                <w:szCs w:val="18"/>
                <w:lang w:val="en-US" w:eastAsia="zh-CN"/>
              </w:rPr>
            </w:pPr>
            <w:r>
              <w:rPr>
                <w:rFonts w:hint="eastAsia"/>
                <w:b w:val="0"/>
                <w:bCs w:val="0"/>
                <w:sz w:val="18"/>
                <w:szCs w:val="18"/>
                <w:lang w:val="en-US" w:eastAsia="zh-CN"/>
              </w:rPr>
              <w:t>商业道德（8.2）</w:t>
            </w:r>
          </w:p>
        </w:tc>
        <w:tc>
          <w:tcPr>
            <w:tcW w:w="724" w:type="dxa"/>
            <w:tcBorders>
              <w:top w:val="single" w:color="auto" w:sz="8" w:space="0"/>
              <w:left w:val="nil"/>
              <w:bottom w:val="single" w:color="auto" w:sz="8" w:space="0"/>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bottom w:val="single" w:color="auto" w:sz="8" w:space="0"/>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反腐败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left"/>
            </w:pPr>
          </w:p>
        </w:tc>
        <w:tc>
          <w:tcPr>
            <w:tcW w:w="724" w:type="dxa"/>
            <w:tcBorders>
              <w:top w:val="single" w:color="auto" w:sz="8" w:space="0"/>
              <w:left w:val="nil"/>
              <w:bottom w:val="single" w:color="auto" w:sz="8" w:space="0"/>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bottom w:val="single" w:color="auto" w:sz="8" w:space="0"/>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公平竞争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restart"/>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G-3</w:t>
            </w:r>
          </w:p>
        </w:tc>
        <w:tc>
          <w:tcPr>
            <w:tcW w:w="2680" w:type="dxa"/>
            <w:vMerge w:val="restart"/>
            <w:tcBorders>
              <w:top w:val="single" w:color="auto" w:sz="8" w:space="0"/>
              <w:left w:val="nil"/>
              <w:right w:val="nil"/>
            </w:tcBorders>
            <w:shd w:val="clear" w:color="auto" w:fill="auto"/>
            <w:vAlign w:val="center"/>
          </w:tcPr>
          <w:p>
            <w:pPr>
              <w:spacing w:line="240" w:lineRule="auto"/>
              <w:jc w:val="left"/>
              <w:rPr>
                <w:rFonts w:hint="default"/>
                <w:b w:val="0"/>
                <w:bCs w:val="0"/>
                <w:sz w:val="18"/>
                <w:szCs w:val="18"/>
                <w:lang w:val="en-US" w:eastAsia="zh-CN"/>
              </w:rPr>
            </w:pPr>
            <w:r>
              <w:rPr>
                <w:rFonts w:hint="eastAsia"/>
                <w:b w:val="0"/>
                <w:bCs w:val="0"/>
                <w:sz w:val="18"/>
                <w:szCs w:val="18"/>
                <w:lang w:val="en-US" w:eastAsia="zh-CN"/>
              </w:rPr>
              <w:t>管理文化（8.3）</w:t>
            </w: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信息化与智能化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pPr>
          </w:p>
        </w:tc>
        <w:tc>
          <w:tcPr>
            <w:tcW w:w="644" w:type="dxa"/>
            <w:vMerge w:val="continue"/>
            <w:tcBorders>
              <w:left w:val="nil"/>
              <w:right w:val="nil"/>
            </w:tcBorders>
            <w:shd w:val="clear" w:color="auto" w:fill="auto"/>
            <w:vAlign w:val="center"/>
          </w:tcPr>
          <w:p>
            <w:pPr>
              <w:spacing w:line="240" w:lineRule="auto"/>
              <w:jc w:val="center"/>
            </w:pPr>
          </w:p>
        </w:tc>
        <w:tc>
          <w:tcPr>
            <w:tcW w:w="2680" w:type="dxa"/>
            <w:vMerge w:val="continue"/>
            <w:tcBorders>
              <w:left w:val="nil"/>
              <w:right w:val="nil"/>
            </w:tcBorders>
            <w:shd w:val="clear" w:color="auto" w:fill="auto"/>
            <w:vAlign w:val="center"/>
          </w:tcPr>
          <w:p>
            <w:pPr>
              <w:spacing w:line="240" w:lineRule="auto"/>
              <w:jc w:val="center"/>
            </w:pPr>
          </w:p>
        </w:tc>
        <w:tc>
          <w:tcPr>
            <w:tcW w:w="724" w:type="dxa"/>
            <w:tcBorders>
              <w:top w:val="single" w:color="auto" w:sz="8" w:space="0"/>
              <w:left w:val="nil"/>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科技创新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28"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644"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2680" w:type="dxa"/>
            <w:vMerge w:val="continue"/>
            <w:tcBorders>
              <w:left w:val="nil"/>
              <w:right w:val="nil"/>
            </w:tcBorders>
            <w:shd w:val="clear" w:color="auto" w:fill="auto"/>
            <w:vAlign w:val="center"/>
          </w:tcPr>
          <w:p>
            <w:pPr>
              <w:spacing w:line="240" w:lineRule="auto"/>
              <w:jc w:val="center"/>
              <w:rPr>
                <w:rFonts w:hint="eastAsia"/>
                <w:b w:val="0"/>
                <w:bCs w:val="0"/>
                <w:sz w:val="18"/>
                <w:szCs w:val="18"/>
                <w:lang w:val="en-US" w:eastAsia="zh-CN"/>
              </w:rPr>
            </w:pPr>
          </w:p>
        </w:tc>
        <w:tc>
          <w:tcPr>
            <w:tcW w:w="724" w:type="dxa"/>
            <w:tcBorders>
              <w:top w:val="single" w:color="auto" w:sz="8" w:space="0"/>
              <w:left w:val="nil"/>
              <w:bottom w:val="single" w:color="auto" w:sz="8" w:space="0"/>
              <w:right w:val="nil"/>
            </w:tcBorders>
            <w:shd w:val="clear" w:color="auto" w:fill="auto"/>
            <w:vAlign w:val="center"/>
          </w:tcPr>
          <w:p>
            <w:pPr>
              <w:numPr>
                <w:ilvl w:val="0"/>
                <w:numId w:val="3"/>
              </w:numPr>
              <w:spacing w:line="240" w:lineRule="auto"/>
              <w:ind w:left="425" w:leftChars="0" w:hanging="425" w:firstLineChars="0"/>
              <w:jc w:val="center"/>
              <w:rPr>
                <w:rFonts w:hint="default"/>
                <w:b w:val="0"/>
                <w:bCs w:val="0"/>
                <w:sz w:val="18"/>
                <w:szCs w:val="18"/>
                <w:lang w:val="en-US" w:eastAsia="zh-CN"/>
              </w:rPr>
            </w:pPr>
          </w:p>
        </w:tc>
        <w:tc>
          <w:tcPr>
            <w:tcW w:w="3812" w:type="dxa"/>
            <w:tcBorders>
              <w:top w:val="single" w:color="auto" w:sz="8" w:space="0"/>
              <w:left w:val="nil"/>
              <w:bottom w:val="single" w:color="auto" w:sz="8" w:space="0"/>
              <w:right w:val="nil"/>
            </w:tcBorders>
            <w:shd w:val="clear" w:color="auto" w:fill="auto"/>
            <w:vAlign w:val="center"/>
          </w:tcPr>
          <w:p>
            <w:pPr>
              <w:spacing w:line="240" w:lineRule="auto"/>
              <w:jc w:val="center"/>
              <w:rPr>
                <w:rFonts w:hint="default"/>
                <w:b w:val="0"/>
                <w:bCs w:val="0"/>
                <w:sz w:val="18"/>
                <w:szCs w:val="18"/>
                <w:lang w:val="en-US" w:eastAsia="zh-CN"/>
              </w:rPr>
            </w:pPr>
            <w:r>
              <w:rPr>
                <w:rFonts w:hint="eastAsia"/>
                <w:b w:val="0"/>
                <w:bCs w:val="0"/>
                <w:sz w:val="18"/>
                <w:szCs w:val="18"/>
                <w:lang w:val="en-US" w:eastAsia="zh-CN"/>
              </w:rPr>
              <w:t>党建文化*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888" w:type="dxa"/>
            <w:gridSpan w:val="5"/>
            <w:tcBorders>
              <w:left w:val="nil"/>
              <w:right w:val="nil"/>
            </w:tcBorders>
            <w:shd w:val="clear" w:color="auto" w:fill="auto"/>
            <w:vAlign w:val="center"/>
          </w:tcPr>
          <w:p>
            <w:pPr>
              <w:spacing w:line="240" w:lineRule="auto"/>
              <w:jc w:val="both"/>
              <w:rPr>
                <w:rFonts w:hint="eastAsia" w:cs="Times New Roman"/>
                <w:b w:val="0"/>
                <w:bCs w:val="0"/>
                <w:sz w:val="18"/>
                <w:szCs w:val="18"/>
                <w:lang w:val="en-US" w:eastAsia="zh-CN"/>
              </w:rPr>
            </w:pPr>
            <w:r>
              <w:rPr>
                <w:rFonts w:hint="eastAsia"/>
                <w:b w:val="0"/>
                <w:bCs w:val="0"/>
                <w:sz w:val="18"/>
                <w:szCs w:val="18"/>
                <w:lang w:val="en-US" w:eastAsia="zh-CN"/>
              </w:rPr>
              <w:t>注1：</w:t>
            </w:r>
            <w:r>
              <w:rPr>
                <w:rFonts w:hint="eastAsia" w:cs="Times New Roman"/>
                <w:b w:val="0"/>
                <w:bCs w:val="0"/>
                <w:sz w:val="18"/>
                <w:szCs w:val="18"/>
                <w:lang w:val="en-US" w:eastAsia="zh-CN"/>
              </w:rPr>
              <w:t>标“*”的专题披露项为建筑材料行业建议披露项，</w:t>
            </w:r>
            <w:r>
              <w:rPr>
                <w:rFonts w:hint="eastAsia" w:cs="Times New Roman"/>
                <w:color w:val="auto"/>
                <w:sz w:val="18"/>
                <w:szCs w:val="18"/>
                <w:highlight w:val="none"/>
                <w:lang w:val="en-US" w:eastAsia="zh-CN"/>
              </w:rPr>
              <w:t>企业宜按实际情况有选择性地响应建议披露项</w:t>
            </w:r>
            <w:r>
              <w:rPr>
                <w:rFonts w:hint="eastAsia" w:cs="Times New Roman"/>
                <w:b w:val="0"/>
                <w:bCs w:val="0"/>
                <w:sz w:val="18"/>
                <w:szCs w:val="18"/>
                <w:lang w:val="en-US" w:eastAsia="zh-CN"/>
              </w:rPr>
              <w:t>。</w:t>
            </w:r>
          </w:p>
          <w:p>
            <w:pPr>
              <w:spacing w:line="240" w:lineRule="auto"/>
              <w:jc w:val="both"/>
              <w:rPr>
                <w:rFonts w:hint="default" w:cs="Times New Roman"/>
                <w:b w:val="0"/>
                <w:bCs w:val="0"/>
                <w:sz w:val="18"/>
                <w:szCs w:val="18"/>
                <w:lang w:val="en-US" w:eastAsia="zh-CN"/>
              </w:rPr>
            </w:pPr>
            <w:r>
              <w:rPr>
                <w:rFonts w:hint="eastAsia" w:cs="Times New Roman"/>
                <w:b w:val="0"/>
                <w:bCs w:val="0"/>
                <w:sz w:val="18"/>
                <w:szCs w:val="18"/>
                <w:lang w:val="en-US" w:eastAsia="zh-CN"/>
              </w:rPr>
              <w:t>注2：未标“*”的专题披露项为建筑材料行业基础披露项，</w:t>
            </w:r>
            <w:r>
              <w:rPr>
                <w:rFonts w:hint="eastAsia" w:cs="Times New Roman"/>
                <w:color w:val="auto"/>
                <w:sz w:val="18"/>
                <w:szCs w:val="18"/>
                <w:highlight w:val="none"/>
                <w:lang w:val="en-US" w:eastAsia="zh-CN"/>
              </w:rPr>
              <w:t>原则上企业应响应所有基础披露项，若无法披露基础披露项应在报告中予以解释</w:t>
            </w:r>
            <w:r>
              <w:rPr>
                <w:rFonts w:hint="eastAsia" w:cs="Times New Roman"/>
                <w:b w:val="0"/>
                <w:bCs w:val="0"/>
                <w:sz w:val="18"/>
                <w:szCs w:val="18"/>
                <w:lang w:val="en-US" w:eastAsia="zh-CN"/>
              </w:rPr>
              <w:t>。</w:t>
            </w:r>
          </w:p>
        </w:tc>
      </w:tr>
    </w:tbl>
    <w:p>
      <w:pPr>
        <w:pStyle w:val="4"/>
        <w:rPr>
          <w:rFonts w:hint="default" w:ascii="Times New Roman" w:hAnsi="Times New Roman"/>
          <w:lang w:val="en-US" w:eastAsia="zh-CN"/>
        </w:rPr>
      </w:pPr>
      <w:r>
        <w:rPr>
          <w:rFonts w:hint="default" w:ascii="Times New Roman" w:hAnsi="Times New Roman"/>
          <w:lang w:eastAsia="zh-CN"/>
        </w:rPr>
        <w:t>2</w:t>
      </w:r>
      <w:r>
        <w:rPr>
          <w:rFonts w:hint="eastAsia" w:ascii="Times New Roman" w:hAnsi="Times New Roman"/>
          <w:lang w:val="en-US" w:eastAsia="zh-Hans"/>
        </w:rPr>
        <w:t>.</w:t>
      </w:r>
      <w:r>
        <w:rPr>
          <w:rFonts w:hint="eastAsia" w:ascii="Times New Roman" w:hAnsi="Times New Roman"/>
          <w:lang w:val="en-US" w:eastAsia="zh-CN"/>
        </w:rPr>
        <w:t>6.2</w:t>
      </w:r>
      <w:r>
        <w:rPr>
          <w:rFonts w:hint="default" w:ascii="Times New Roman" w:hAnsi="Times New Roman"/>
          <w:lang w:val="en-US" w:eastAsia="zh-CN"/>
        </w:rPr>
        <w:t xml:space="preserve"> </w:t>
      </w:r>
      <w:r>
        <w:rPr>
          <w:rFonts w:hint="eastAsia" w:ascii="Times New Roman" w:hAnsi="Times New Roman"/>
          <w:lang w:val="en-US" w:eastAsia="zh-CN"/>
        </w:rPr>
        <w:t>一般要求</w:t>
      </w:r>
    </w:p>
    <w:p>
      <w:pPr>
        <w:ind w:firstLine="420" w:firstLineChars="0"/>
        <w:rPr>
          <w:rFonts w:hint="eastAsia"/>
          <w:highlight w:val="none"/>
          <w:lang w:val="en-US" w:eastAsia="zh-CN"/>
        </w:rPr>
      </w:pPr>
      <w:r>
        <w:rPr>
          <w:rFonts w:hint="eastAsia"/>
          <w:sz w:val="24"/>
          <w:szCs w:val="24"/>
          <w:lang w:val="en-US" w:eastAsia="zh-Hans"/>
        </w:rPr>
        <w:t>企业在进行</w:t>
      </w:r>
      <w:r>
        <w:rPr>
          <w:rFonts w:hint="default"/>
          <w:sz w:val="24"/>
          <w:szCs w:val="24"/>
          <w:lang w:eastAsia="zh-Hans"/>
        </w:rPr>
        <w:t>ESG</w:t>
      </w:r>
      <w:r>
        <w:rPr>
          <w:rFonts w:hint="eastAsia"/>
          <w:sz w:val="24"/>
          <w:szCs w:val="24"/>
          <w:lang w:val="en-US" w:eastAsia="zh-Hans"/>
        </w:rPr>
        <w:t>信息披露时</w:t>
      </w:r>
      <w:r>
        <w:rPr>
          <w:rFonts w:hint="default"/>
          <w:sz w:val="24"/>
          <w:szCs w:val="24"/>
          <w:lang w:eastAsia="zh-Hans"/>
        </w:rPr>
        <w:t>，</w:t>
      </w:r>
      <w:r>
        <w:rPr>
          <w:rFonts w:hint="eastAsia"/>
          <w:sz w:val="24"/>
          <w:szCs w:val="24"/>
          <w:lang w:val="en-US" w:eastAsia="zh-CN"/>
        </w:rPr>
        <w:t>需</w:t>
      </w:r>
      <w:r>
        <w:rPr>
          <w:rFonts w:hint="eastAsia"/>
          <w:highlight w:val="none"/>
          <w:lang w:val="en-US" w:eastAsia="zh-CN"/>
        </w:rPr>
        <w:t>报告有关企业本身以及ESG报告实践的必要背景信息</w:t>
      </w:r>
      <w:r>
        <w:rPr>
          <w:rFonts w:hint="default"/>
          <w:sz w:val="24"/>
          <w:szCs w:val="24"/>
          <w:lang w:eastAsia="zh-Hans"/>
        </w:rPr>
        <w:t>。</w:t>
      </w:r>
      <w:r>
        <w:rPr>
          <w:rFonts w:hint="eastAsia"/>
          <w:sz w:val="24"/>
          <w:szCs w:val="24"/>
          <w:lang w:val="en-US" w:eastAsia="zh-CN"/>
        </w:rPr>
        <w:t>本文件从报告范围、报告变化、信息重述、联系人信息四个维度对企业提出一般披露要求。</w:t>
      </w:r>
      <w:r>
        <w:rPr>
          <w:rFonts w:hint="eastAsia"/>
          <w:highlight w:val="none"/>
          <w:lang w:val="en-US" w:eastAsia="zh-CN"/>
        </w:rPr>
        <w:t>企业宣称</w:t>
      </w:r>
      <w:r>
        <w:rPr>
          <w:rFonts w:hint="eastAsia"/>
          <w:highlight w:val="none"/>
        </w:rPr>
        <w:t>按本文件进行信息披露时</w:t>
      </w:r>
      <w:r>
        <w:rPr>
          <w:rFonts w:hint="eastAsia"/>
          <w:highlight w:val="none"/>
          <w:lang w:eastAsia="zh-CN"/>
        </w:rPr>
        <w:t>，</w:t>
      </w:r>
      <w:r>
        <w:rPr>
          <w:rFonts w:hint="eastAsia"/>
          <w:highlight w:val="none"/>
          <w:lang w:val="en-US" w:eastAsia="zh-CN"/>
        </w:rPr>
        <w:t>原则上</w:t>
      </w:r>
      <w:r>
        <w:rPr>
          <w:rFonts w:hint="eastAsia"/>
          <w:highlight w:val="none"/>
        </w:rPr>
        <w:t>应</w:t>
      </w:r>
      <w:r>
        <w:rPr>
          <w:rFonts w:hint="eastAsia"/>
          <w:highlight w:val="none"/>
          <w:lang w:val="en-US" w:eastAsia="zh-CN"/>
        </w:rPr>
        <w:t>满足一般要求。上述项目的披露概述了了企业界定其ESG报告内容时所遵循的过程。另外还会审查其确定实质性议题及其边界以及任何更改或重述时所遵循的过程。此外，它们还提供报告的基本信息。</w:t>
      </w:r>
    </w:p>
    <w:p>
      <w:pPr>
        <w:pStyle w:val="5"/>
        <w:rPr>
          <w:rFonts w:hint="eastAsia" w:eastAsia="黑体"/>
          <w:lang w:val="en-US" w:eastAsia="zh-CN"/>
        </w:rPr>
      </w:pPr>
      <w:r>
        <w:rPr>
          <w:rFonts w:hint="default"/>
          <w:lang w:eastAsia="zh-Hans"/>
        </w:rPr>
        <w:t>2</w:t>
      </w:r>
      <w:r>
        <w:rPr>
          <w:rFonts w:hint="eastAsia"/>
          <w:lang w:val="en-US" w:eastAsia="zh-Hans"/>
        </w:rPr>
        <w:t>.</w:t>
      </w:r>
      <w:r>
        <w:rPr>
          <w:rFonts w:hint="eastAsia"/>
          <w:lang w:val="en-US" w:eastAsia="zh-CN"/>
        </w:rPr>
        <w:t>6.2</w:t>
      </w:r>
      <w:r>
        <w:rPr>
          <w:rFonts w:hint="eastAsia"/>
          <w:lang w:val="en-US" w:eastAsia="zh-Hans"/>
        </w:rPr>
        <w:t xml:space="preserve">.1 </w:t>
      </w:r>
      <w:r>
        <w:rPr>
          <w:rFonts w:hint="eastAsia"/>
          <w:lang w:val="en-US" w:eastAsia="zh-CN"/>
        </w:rPr>
        <w:t>报告范围</w:t>
      </w:r>
    </w:p>
    <w:p>
      <w:pPr>
        <w:ind w:firstLine="420" w:firstLineChars="0"/>
        <w:rPr>
          <w:rFonts w:hint="default"/>
          <w:highlight w:val="none"/>
          <w:lang w:val="en-US" w:eastAsia="zh-CN"/>
        </w:rPr>
      </w:pPr>
      <w:r>
        <w:rPr>
          <w:rFonts w:hint="default"/>
          <w:b/>
          <w:bCs/>
          <w:highlight w:val="none"/>
          <w:lang w:val="en-US" w:eastAsia="zh-CN"/>
        </w:rPr>
        <w:t>合并财务报表中所涵盖的实体：</w:t>
      </w:r>
      <w:r>
        <w:rPr>
          <w:rFonts w:hint="default"/>
          <w:highlight w:val="none"/>
          <w:lang w:val="en-US" w:eastAsia="zh-CN"/>
        </w:rPr>
        <w:t>企业应组织合并财务报表或同等文件中涵盖的所有实体，确保不遗漏，以响应全面性及准确性的披露原则。</w:t>
      </w:r>
    </w:p>
    <w:p>
      <w:pPr>
        <w:ind w:firstLine="420" w:firstLineChars="0"/>
        <w:rPr>
          <w:rFonts w:hint="default"/>
          <w:highlight w:val="none"/>
          <w:lang w:val="en-US" w:eastAsia="zh-CN"/>
        </w:rPr>
      </w:pPr>
      <w:r>
        <w:rPr>
          <w:rFonts w:hint="default"/>
          <w:b/>
          <w:bCs/>
          <w:highlight w:val="none"/>
          <w:lang w:val="en-US" w:eastAsia="zh-CN"/>
        </w:rPr>
        <w:t>界定报告内容和议题边界：</w:t>
      </w:r>
      <w:r>
        <w:rPr>
          <w:rFonts w:hint="default"/>
          <w:highlight w:val="none"/>
          <w:lang w:val="en-US" w:eastAsia="zh-CN"/>
        </w:rPr>
        <w:t>企业应严格遵循全面性原则界定报告内容，同时运用实质性原则确定议题的内容和优先性。</w:t>
      </w:r>
    </w:p>
    <w:p>
      <w:pPr>
        <w:ind w:firstLine="420" w:firstLineChars="0"/>
        <w:rPr>
          <w:rFonts w:hint="default"/>
          <w:highlight w:val="none"/>
          <w:lang w:val="en-US" w:eastAsia="zh-CN"/>
        </w:rPr>
      </w:pPr>
      <w:r>
        <w:rPr>
          <w:rFonts w:hint="default"/>
          <w:b/>
          <w:bCs/>
          <w:highlight w:val="none"/>
          <w:lang w:val="en-US" w:eastAsia="zh-CN"/>
        </w:rPr>
        <w:t>实质性议题列表：</w:t>
      </w:r>
      <w:r>
        <w:rPr>
          <w:rFonts w:hint="default"/>
          <w:highlight w:val="none"/>
          <w:lang w:val="en-US" w:eastAsia="zh-CN"/>
        </w:rPr>
        <w:t>实质性议题是指那些企业优先纳入报告中的议题。实行这种优先化做法时要使用利益相关方包容性和实质性原则。“实质性”原则基于以下两个维度来确定实质性议题：</w:t>
      </w:r>
    </w:p>
    <w:p>
      <w:pPr>
        <w:ind w:firstLine="420" w:firstLineChars="0"/>
        <w:rPr>
          <w:rFonts w:hint="default"/>
          <w:highlight w:val="none"/>
          <w:lang w:val="en-US" w:eastAsia="zh-CN"/>
        </w:rPr>
      </w:pPr>
      <w:r>
        <w:rPr>
          <w:rFonts w:hint="default"/>
          <w:highlight w:val="none"/>
          <w:lang w:val="en-US" w:eastAsia="zh-CN"/>
        </w:rPr>
        <w:t>• 该企业的环境、社会和公司治理影响的重要性；</w:t>
      </w:r>
    </w:p>
    <w:p>
      <w:pPr>
        <w:ind w:firstLine="420" w:firstLineChars="0"/>
        <w:rPr>
          <w:rFonts w:hint="default"/>
          <w:highlight w:val="none"/>
          <w:lang w:val="en-US" w:eastAsia="zh-CN"/>
        </w:rPr>
      </w:pPr>
      <w:r>
        <w:rPr>
          <w:rFonts w:hint="default"/>
          <w:highlight w:val="none"/>
          <w:lang w:val="en-US" w:eastAsia="zh-CN"/>
        </w:rPr>
        <w:t>• 对利益相关方的评估和决策具有实质性的影响。</w:t>
      </w:r>
    </w:p>
    <w:p>
      <w:pPr>
        <w:ind w:firstLine="420" w:firstLineChars="0"/>
        <w:rPr>
          <w:rFonts w:hint="default"/>
          <w:highlight w:val="none"/>
          <w:lang w:val="en-US" w:eastAsia="zh-CN"/>
        </w:rPr>
      </w:pPr>
      <w:r>
        <w:rPr>
          <w:rFonts w:hint="default"/>
          <w:highlight w:val="none"/>
          <w:lang w:val="en-US" w:eastAsia="zh-CN"/>
        </w:rPr>
        <w:t>本文件给出的信息披露框架原则上包含了建筑原材料行业与建筑部品行业的所有实质性议题。企业宜根据实质性、企业可持续发展背景以及利益相关方参与等原则确定这些信息的优先级别。</w:t>
      </w:r>
    </w:p>
    <w:p>
      <w:pPr>
        <w:ind w:firstLine="420" w:firstLineChars="0"/>
        <w:rPr>
          <w:rFonts w:hint="default"/>
          <w:highlight w:val="none"/>
          <w:lang w:val="en-US" w:eastAsia="zh-CN"/>
        </w:rPr>
      </w:pPr>
      <w:r>
        <w:rPr>
          <w:rFonts w:hint="default"/>
          <w:b/>
          <w:bCs/>
          <w:highlight w:val="none"/>
          <w:lang w:val="en-US" w:eastAsia="zh-CN"/>
        </w:rPr>
        <w:t>报告期：</w:t>
      </w:r>
      <w:r>
        <w:rPr>
          <w:rFonts w:hint="default"/>
          <w:highlight w:val="none"/>
          <w:lang w:val="en-US" w:eastAsia="zh-CN"/>
        </w:rPr>
        <w:t>报告期旨在确定ESG报告的时间范围，可使用财务门槛或其他日历年度，在报告中做出说明即可，这是报告可比性的重要基础。</w:t>
      </w:r>
    </w:p>
    <w:p>
      <w:pPr>
        <w:pStyle w:val="5"/>
        <w:rPr>
          <w:rFonts w:hint="default"/>
          <w:lang w:val="en-US" w:eastAsia="zh-CN"/>
        </w:rPr>
      </w:pPr>
      <w:r>
        <w:rPr>
          <w:rFonts w:hint="eastAsia"/>
          <w:lang w:val="en-US" w:eastAsia="zh-CN"/>
        </w:rPr>
        <w:t xml:space="preserve">2.6.2.2 </w:t>
      </w:r>
      <w:r>
        <w:rPr>
          <w:rFonts w:hint="default"/>
          <w:lang w:val="en-US" w:eastAsia="zh-CN"/>
        </w:rPr>
        <w:t>报告变化</w:t>
      </w:r>
    </w:p>
    <w:p>
      <w:pPr>
        <w:ind w:firstLine="480" w:firstLineChars="200"/>
        <w:rPr>
          <w:rFonts w:hint="eastAsia"/>
          <w:b w:val="0"/>
          <w:sz w:val="21"/>
          <w:szCs w:val="21"/>
          <w:lang w:eastAsia="zh-CN"/>
        </w:rPr>
      </w:pPr>
      <w:r>
        <w:rPr>
          <w:rFonts w:hint="eastAsia"/>
          <w:lang w:val="en-US" w:eastAsia="zh-CN"/>
        </w:rPr>
        <w:t>企业应说明</w:t>
      </w:r>
      <w:r>
        <w:rPr>
          <w:rFonts w:hint="default" w:ascii="Times New Roman" w:hAnsi="Times New Roman" w:eastAsia="宋体"/>
          <w:b w:val="0"/>
          <w:sz w:val="21"/>
          <w:szCs w:val="21"/>
        </w:rPr>
        <w:t>与之前的</w:t>
      </w:r>
      <w:r>
        <w:rPr>
          <w:rFonts w:hint="default"/>
          <w:sz w:val="21"/>
          <w:szCs w:val="21"/>
        </w:rPr>
        <w:t>报告期</w:t>
      </w:r>
      <w:r>
        <w:rPr>
          <w:rFonts w:hint="default" w:ascii="Times New Roman" w:hAnsi="Times New Roman" w:eastAsia="宋体"/>
          <w:b w:val="0"/>
          <w:sz w:val="21"/>
          <w:szCs w:val="21"/>
        </w:rPr>
        <w:t>相比，</w:t>
      </w:r>
      <w:r>
        <w:rPr>
          <w:rFonts w:hint="default"/>
          <w:sz w:val="21"/>
          <w:szCs w:val="21"/>
        </w:rPr>
        <w:t>实质性议题</w:t>
      </w:r>
      <w:r>
        <w:rPr>
          <w:rFonts w:hint="default" w:ascii="Times New Roman" w:hAnsi="Times New Roman" w:eastAsia="宋体"/>
          <w:b w:val="0"/>
          <w:sz w:val="21"/>
          <w:szCs w:val="21"/>
        </w:rPr>
        <w:t>列表和</w:t>
      </w:r>
      <w:r>
        <w:rPr>
          <w:rFonts w:hint="default"/>
          <w:sz w:val="21"/>
          <w:szCs w:val="21"/>
        </w:rPr>
        <w:t>议题边界</w:t>
      </w:r>
      <w:r>
        <w:rPr>
          <w:rFonts w:hint="default" w:ascii="Times New Roman" w:hAnsi="Times New Roman" w:eastAsia="宋体"/>
          <w:b w:val="0"/>
          <w:sz w:val="21"/>
          <w:szCs w:val="21"/>
        </w:rPr>
        <w:t>的重大变化</w:t>
      </w:r>
      <w:r>
        <w:rPr>
          <w:rFonts w:hint="eastAsia"/>
          <w:b w:val="0"/>
          <w:sz w:val="21"/>
          <w:szCs w:val="21"/>
          <w:lang w:eastAsia="zh-CN"/>
        </w:rPr>
        <w:t>。</w:t>
      </w:r>
    </w:p>
    <w:p>
      <w:pPr>
        <w:pStyle w:val="5"/>
        <w:rPr>
          <w:rFonts w:hint="default"/>
          <w:b w:val="0"/>
          <w:sz w:val="21"/>
          <w:szCs w:val="21"/>
          <w:lang w:val="en-US" w:eastAsia="zh-CN"/>
        </w:rPr>
      </w:pPr>
      <w:r>
        <w:rPr>
          <w:rFonts w:hint="eastAsia"/>
          <w:lang w:val="en-US" w:eastAsia="zh-CN"/>
        </w:rPr>
        <w:t>2.6.2.3 信息重述</w:t>
      </w:r>
    </w:p>
    <w:p>
      <w:pPr>
        <w:ind w:firstLine="420" w:firstLineChars="0"/>
        <w:rPr>
          <w:rFonts w:hint="default"/>
          <w:highlight w:val="none"/>
          <w:lang w:val="en-US" w:eastAsia="zh-CN"/>
        </w:rPr>
      </w:pPr>
      <w:r>
        <w:rPr>
          <w:rFonts w:hint="default"/>
          <w:highlight w:val="none"/>
          <w:lang w:val="en-US" w:eastAsia="zh-CN"/>
        </w:rPr>
        <w:t>企业宜披露信息重述的原因，如发生兼并或收购、基准年或报告期的变动、经营性质的改变等，旨在降低未来可能产生的负面影响。</w:t>
      </w:r>
    </w:p>
    <w:p>
      <w:pPr>
        <w:pStyle w:val="5"/>
        <w:rPr>
          <w:rFonts w:hint="default"/>
          <w:lang w:val="en-US" w:eastAsia="zh-CN"/>
        </w:rPr>
      </w:pPr>
      <w:r>
        <w:rPr>
          <w:rFonts w:hint="eastAsia"/>
          <w:lang w:val="en-US" w:eastAsia="zh-CN"/>
        </w:rPr>
        <w:t xml:space="preserve">2.6.2.4 </w:t>
      </w:r>
      <w:r>
        <w:rPr>
          <w:rFonts w:hint="default"/>
          <w:lang w:val="en-US" w:eastAsia="zh-CN"/>
        </w:rPr>
        <w:t>联系人信息</w:t>
      </w:r>
    </w:p>
    <w:p>
      <w:pPr>
        <w:ind w:firstLine="420" w:firstLineChars="0"/>
        <w:rPr>
          <w:rFonts w:hint="default"/>
          <w:highlight w:val="none"/>
          <w:lang w:val="en-US" w:eastAsia="zh-CN"/>
        </w:rPr>
      </w:pPr>
      <w:r>
        <w:rPr>
          <w:rFonts w:hint="default"/>
          <w:highlight w:val="none"/>
          <w:lang w:val="en-US" w:eastAsia="zh-CN"/>
        </w:rPr>
        <w:t>要求企业提供可回答报告或其内容相关问题的联系人信息，旨在提供沟通渠道回答与报告相关的任何疑问。</w:t>
      </w:r>
    </w:p>
    <w:p>
      <w:pPr>
        <w:pStyle w:val="4"/>
        <w:rPr>
          <w:rFonts w:hint="eastAsia" w:ascii="Times New Roman" w:hAnsi="Times New Roman"/>
          <w:lang w:val="en-US" w:eastAsia="zh-CN"/>
        </w:rPr>
      </w:pPr>
      <w:r>
        <w:rPr>
          <w:rFonts w:hint="default" w:ascii="Times New Roman" w:hAnsi="Times New Roman"/>
          <w:lang w:eastAsia="zh-CN"/>
        </w:rPr>
        <w:t>2</w:t>
      </w:r>
      <w:r>
        <w:rPr>
          <w:rFonts w:hint="eastAsia" w:ascii="Times New Roman" w:hAnsi="Times New Roman"/>
          <w:lang w:val="en-US" w:eastAsia="zh-Hans"/>
        </w:rPr>
        <w:t>.</w:t>
      </w:r>
      <w:r>
        <w:rPr>
          <w:rFonts w:hint="eastAsia" w:ascii="Times New Roman" w:hAnsi="Times New Roman"/>
          <w:lang w:val="en-US" w:eastAsia="zh-CN"/>
        </w:rPr>
        <w:t>6.3</w:t>
      </w:r>
      <w:r>
        <w:rPr>
          <w:rFonts w:hint="default" w:ascii="Times New Roman" w:hAnsi="Times New Roman"/>
          <w:lang w:val="en-US" w:eastAsia="zh-CN"/>
        </w:rPr>
        <w:t xml:space="preserve"> </w:t>
      </w:r>
      <w:r>
        <w:rPr>
          <w:rFonts w:hint="eastAsia" w:ascii="Times New Roman" w:hAnsi="Times New Roman"/>
          <w:lang w:val="en-US" w:eastAsia="zh-CN"/>
        </w:rPr>
        <w:t>管理要求</w:t>
      </w:r>
    </w:p>
    <w:p>
      <w:pPr>
        <w:spacing w:line="360" w:lineRule="auto"/>
        <w:ind w:firstLine="480"/>
        <w:rPr>
          <w:rFonts w:hint="eastAsia" w:cs="Times New Roman"/>
          <w:sz w:val="24"/>
          <w:szCs w:val="24"/>
          <w:lang w:val="en-US" w:eastAsia="zh-CN"/>
        </w:rPr>
      </w:pPr>
      <w:r>
        <w:rPr>
          <w:rFonts w:hint="eastAsia"/>
          <w:highlight w:val="none"/>
          <w:lang w:val="en-US" w:eastAsia="zh-CN"/>
        </w:rPr>
        <w:t>通过界定管理要求，规定企业管理与实质性议题相关的经济、环境和社会影响。这为企业如何识别、分析和回应其实际和潜在影响提供了叙述性信息。企业宣称</w:t>
      </w:r>
      <w:r>
        <w:rPr>
          <w:rFonts w:hint="eastAsia"/>
          <w:highlight w:val="none"/>
        </w:rPr>
        <w:t>按本文件进行信息披露时</w:t>
      </w:r>
      <w:r>
        <w:rPr>
          <w:rFonts w:hint="eastAsia"/>
          <w:highlight w:val="none"/>
          <w:lang w:eastAsia="zh-CN"/>
        </w:rPr>
        <w:t>，</w:t>
      </w:r>
      <w:r>
        <w:rPr>
          <w:rFonts w:hint="eastAsia"/>
          <w:highlight w:val="none"/>
          <w:lang w:val="en-US" w:eastAsia="zh-CN"/>
        </w:rPr>
        <w:t>议题以及披露项报告内容应符合管理要求的规定。</w:t>
      </w:r>
      <w:r>
        <w:rPr>
          <w:rFonts w:hint="eastAsia" w:cs="Times New Roman"/>
          <w:sz w:val="24"/>
          <w:szCs w:val="24"/>
          <w:lang w:val="en-US" w:eastAsia="zh-CN"/>
        </w:rPr>
        <w:t>具体而言，本文件提出了三个具体管理要求，即合规性、适用性以及实质性。同时参照TCFD四要素气候信息披露框架，规定了汇报每个议题的具体路径，即战略、目标、指标、举措。本文件提出的管理要求适用于本文件规定的所有议题。对于宣称按本文件进行信息披露的企业，原则上应满足管理要求。</w:t>
      </w:r>
    </w:p>
    <w:p>
      <w:pPr>
        <w:spacing w:line="360" w:lineRule="auto"/>
        <w:ind w:firstLine="480"/>
        <w:rPr>
          <w:rFonts w:hint="eastAsia" w:cs="Times New Roman"/>
          <w:sz w:val="24"/>
          <w:szCs w:val="24"/>
          <w:lang w:val="en-US" w:eastAsia="zh-CN"/>
        </w:rPr>
      </w:pPr>
      <w:r>
        <w:rPr>
          <w:rFonts w:hint="eastAsia" w:cs="Times New Roman"/>
          <w:b/>
          <w:bCs/>
          <w:sz w:val="24"/>
          <w:szCs w:val="24"/>
          <w:lang w:val="en-US" w:eastAsia="zh-CN"/>
        </w:rPr>
        <w:t>合规性要求：</w:t>
      </w:r>
      <w:r>
        <w:rPr>
          <w:rFonts w:hint="eastAsia" w:cs="Times New Roman"/>
          <w:sz w:val="24"/>
          <w:szCs w:val="24"/>
          <w:lang w:val="en-US" w:eastAsia="zh-CN"/>
        </w:rPr>
        <w:t>ESG信息披露的内容和质量是企业ESG实践的重要基础，国内外发布了若干法律法规政策，强制要求部分企业开展ESG相关信息披露并规定了强制性披露的ESG信息内容。例如，联交所于2015年引入《环境、社会及管治报告指引》作为香港上市公司信息披露规则，执行ESG信息的半强制披露（不披露就解释）。深交所要求“深证 100”样本公司在披露年度报告的同时需披露公司履行社会责任的报告，社会责任报告的内容涵盖环境污染、职工保护、社会关系等环境（E）和社会维度（S）的内容。上交所则规定本所上市的“上证公司治理板块”样本公司、境内外同时上市的公司及金融类公司应当在年度报告披露的同时披露公司履行社会责任的报告，社会责任报告内容同样需涵盖环境污染、职工保护、社会关系等环境（E）和社会维度（S）的内容。企业应当关注与ESG相关的信息披露合规要求，避免因应披未披、违规披露而导致的法律责任。</w:t>
      </w:r>
    </w:p>
    <w:p>
      <w:pPr>
        <w:spacing w:line="360" w:lineRule="auto"/>
        <w:ind w:firstLine="480"/>
        <w:rPr>
          <w:rFonts w:hint="eastAsia"/>
          <w:highlight w:val="none"/>
          <w:lang w:val="en-US" w:eastAsia="zh-CN"/>
        </w:rPr>
      </w:pPr>
      <w:r>
        <w:rPr>
          <w:rFonts w:hint="eastAsia"/>
          <w:b/>
          <w:bCs/>
          <w:highlight w:val="none"/>
          <w:lang w:val="en-US" w:eastAsia="zh-CN"/>
        </w:rPr>
        <w:t>适用性要求：</w:t>
      </w:r>
      <w:r>
        <w:rPr>
          <w:rFonts w:hint="eastAsia"/>
          <w:highlight w:val="none"/>
          <w:lang w:val="en-US" w:eastAsia="zh-CN"/>
        </w:rPr>
        <w:t>在总结全球可持续信息披露标准发展趋势，研究主流ESG信息披露的推动和实践，综合考虑我国实际情况与建筑材料行业特点的基础上，建立了一套适用于我国建筑材料行业的信息披露标准框架。原则上来说，建筑材料企业应根据所在行业（建筑原材料/建筑部品），对应信息披露框架和特定行业指南，披露本文件第6至第8部分所列出的议题，</w:t>
      </w:r>
      <w:r>
        <w:rPr>
          <w:rFonts w:hint="eastAsia"/>
          <w:color w:val="auto"/>
          <w:lang w:val="en-US" w:eastAsia="zh-CN"/>
        </w:rPr>
        <w:t>并满足相应核算及统计方法要求</w:t>
      </w:r>
      <w:r>
        <w:rPr>
          <w:rFonts w:hint="eastAsia"/>
          <w:highlight w:val="none"/>
          <w:lang w:val="en-US" w:eastAsia="zh-CN"/>
        </w:rPr>
        <w:t>。但若由于客观或主观原因无法对部分议题或披露项进行响应并披露时，企业可选择适用的议题或披露项，但对于未披露的内容应在报告中予以合理解释。</w:t>
      </w:r>
    </w:p>
    <w:p>
      <w:pPr>
        <w:spacing w:line="360" w:lineRule="auto"/>
        <w:ind w:firstLine="480"/>
        <w:rPr>
          <w:rFonts w:hint="default"/>
          <w:highlight w:val="none"/>
          <w:lang w:val="en-US" w:eastAsia="zh-CN"/>
        </w:rPr>
      </w:pPr>
      <w:r>
        <w:rPr>
          <w:rFonts w:hint="eastAsia"/>
          <w:b/>
          <w:bCs/>
          <w:highlight w:val="none"/>
          <w:lang w:val="en-US" w:eastAsia="zh-CN"/>
        </w:rPr>
        <w:t>实质性要求：</w:t>
      </w:r>
      <w:r>
        <w:rPr>
          <w:rFonts w:hint="eastAsia"/>
          <w:highlight w:val="none"/>
          <w:lang w:val="en-US" w:eastAsia="zh-CN"/>
        </w:rPr>
        <w:t>报告中所涵盖的全部议题足以反映该企业的重大环境、社会和公司治理影响，并且能让利益相关方评估该组织。在确定报告中的信息是否充分时，企业应同时考虑利益相关方参与以及社会期望。确保报告中没有遗漏实质影响利益相关方做出评估和决策所需的相关信息，也没有遗漏反映重大经济、环境和社会影响的信息。对于本文件列出的议题以及披露项，如企业评估为非实质性，则应在报告过程中予以解释。</w:t>
      </w:r>
    </w:p>
    <w:p>
      <w:pPr>
        <w:ind w:firstLine="420"/>
        <w:rPr>
          <w:rFonts w:hint="default" w:eastAsia="宋体"/>
          <w:lang w:val="en-US" w:eastAsia="zh-CN"/>
        </w:rPr>
      </w:pPr>
      <w:r>
        <w:rPr>
          <w:rFonts w:hint="eastAsia" w:cs="Times New Roman"/>
          <w:b/>
          <w:bCs/>
          <w:sz w:val="24"/>
          <w:szCs w:val="24"/>
          <w:lang w:val="en-US" w:eastAsia="zh-CN"/>
        </w:rPr>
        <w:t>报告路径：</w:t>
      </w:r>
      <w:r>
        <w:rPr>
          <w:rFonts w:hint="eastAsia" w:cs="Times New Roman"/>
          <w:sz w:val="24"/>
          <w:szCs w:val="24"/>
          <w:lang w:val="en-US" w:eastAsia="zh-CN"/>
        </w:rPr>
        <w:t>在综合考虑了IFRS、ESRS等标准化披露框架的基础上，本文件就指标、战略、目标、举措四个方面对企业信息披露路径进行规定，指标用于反映企业响应实质性议题的现状，战略、目标以及举措则描述了企业对于每个实质性议题相关风险和机遇的识别、管理以及采取的行动。企业从这四个方面出发，可帮助企业形成现状分析、战略规划、具体实施的ESG实践良好循环，最终实现绩效改善的目标。</w:t>
      </w:r>
    </w:p>
    <w:p>
      <w:pPr>
        <w:pStyle w:val="3"/>
        <w:spacing w:line="360" w:lineRule="auto"/>
        <w:rPr>
          <w:rFonts w:hint="eastAsia" w:eastAsia="黑体"/>
          <w:lang w:eastAsia="zh-CN"/>
        </w:rPr>
      </w:pPr>
      <w:bookmarkStart w:id="4" w:name="_Hlk48570118"/>
      <w:r>
        <w:rPr>
          <w:rFonts w:hint="eastAsia"/>
        </w:rPr>
        <w:t xml:space="preserve">2.7 </w:t>
      </w:r>
      <w:bookmarkEnd w:id="4"/>
      <w:r>
        <w:rPr>
          <w:rFonts w:hint="eastAsia"/>
          <w:lang w:val="en-US" w:eastAsia="zh-CN"/>
        </w:rPr>
        <w:t>环境</w:t>
      </w:r>
    </w:p>
    <w:p>
      <w:pPr>
        <w:spacing w:line="360" w:lineRule="auto"/>
        <w:ind w:firstLine="480"/>
        <w:rPr>
          <w:rFonts w:hint="eastAsia" w:cs="Times New Roman"/>
          <w:sz w:val="24"/>
          <w:szCs w:val="24"/>
          <w:lang w:val="en-US" w:eastAsia="zh-CN"/>
        </w:rPr>
      </w:pPr>
      <w:r>
        <w:rPr>
          <w:rFonts w:hint="eastAsia" w:cs="Times New Roman"/>
          <w:sz w:val="24"/>
          <w:szCs w:val="24"/>
          <w:lang w:val="en-US" w:eastAsia="zh-CN"/>
        </w:rPr>
        <w:t>本章节给出了环境主题下气候变化、污染物与废弃物、资源、生物多样性4个议题的披露指标及披露要求。每个议题从议题描述以及报告路径（即战略、目标、指标、举措）对披露指标以及要求展开具体描述。</w:t>
      </w:r>
    </w:p>
    <w:p>
      <w:pPr>
        <w:pStyle w:val="4"/>
        <w:rPr>
          <w:rFonts w:hint="eastAsia" w:ascii="Times New Roman" w:hAnsi="Times New Roman"/>
          <w:lang w:val="en-US" w:eastAsia="zh-CN"/>
        </w:rPr>
      </w:pPr>
      <w:r>
        <w:rPr>
          <w:rFonts w:hint="default" w:ascii="Times New Roman" w:hAnsi="Times New Roman"/>
          <w:lang w:eastAsia="zh-CN"/>
        </w:rPr>
        <w:t>2</w:t>
      </w:r>
      <w:r>
        <w:rPr>
          <w:rFonts w:hint="eastAsia" w:ascii="Times New Roman" w:hAnsi="Times New Roman"/>
          <w:lang w:val="en-US" w:eastAsia="zh-Hans"/>
        </w:rPr>
        <w:t>.</w:t>
      </w:r>
      <w:r>
        <w:rPr>
          <w:rFonts w:hint="eastAsia" w:ascii="Times New Roman" w:hAnsi="Times New Roman"/>
          <w:lang w:val="en-US" w:eastAsia="zh-CN"/>
        </w:rPr>
        <w:t>7.1</w:t>
      </w:r>
      <w:r>
        <w:rPr>
          <w:rFonts w:hint="default" w:ascii="Times New Roman" w:hAnsi="Times New Roman"/>
          <w:lang w:val="en-US" w:eastAsia="zh-CN"/>
        </w:rPr>
        <w:t xml:space="preserve"> </w:t>
      </w:r>
      <w:r>
        <w:rPr>
          <w:rFonts w:hint="eastAsia" w:ascii="Times New Roman" w:hAnsi="Times New Roman"/>
          <w:lang w:val="en-US" w:eastAsia="zh-CN"/>
        </w:rPr>
        <w:t>气候变化</w:t>
      </w:r>
    </w:p>
    <w:p>
      <w:pPr>
        <w:pStyle w:val="5"/>
        <w:rPr>
          <w:rFonts w:hint="eastAsia"/>
          <w:lang w:val="en-US" w:eastAsia="zh-CN"/>
        </w:rPr>
      </w:pPr>
      <w:r>
        <w:rPr>
          <w:rFonts w:hint="eastAsia"/>
          <w:lang w:val="en-US" w:eastAsia="zh-CN"/>
        </w:rPr>
        <w:t>2.7.1.1 披露项的设置</w:t>
      </w:r>
    </w:p>
    <w:p>
      <w:pPr>
        <w:spacing w:line="360" w:lineRule="auto"/>
        <w:ind w:firstLine="480"/>
        <w:rPr>
          <w:rFonts w:hint="eastAsia" w:cs="Times New Roman"/>
          <w:sz w:val="24"/>
          <w:szCs w:val="24"/>
          <w:lang w:val="en-US" w:eastAsia="zh-CN"/>
        </w:rPr>
      </w:pPr>
      <w:r>
        <w:rPr>
          <w:rFonts w:hint="eastAsia" w:cs="Times New Roman"/>
          <w:sz w:val="24"/>
          <w:szCs w:val="24"/>
          <w:lang w:val="en-US" w:eastAsia="zh-CN"/>
        </w:rPr>
        <w:t>气候变化是当今世界面临的最紧迫的全球性挑战之一，对人类的生存环境和地球的生态系统产生了深远影响。建筑材料行业由于在生产过程中能源消耗大、温室气体排放量高，对气候变化的影响尤为显著。因此，企业在ESG报告中披露与气候变化相关的信息，不仅有助于投资者、监管机构和消费者了解企业的环境影响和风险管理能力，也有助于企业自身识别改进领域，推动可持续发展战略的实施。</w:t>
      </w:r>
    </w:p>
    <w:p>
      <w:pPr>
        <w:spacing w:line="360" w:lineRule="auto"/>
        <w:ind w:firstLine="480"/>
        <w:rPr>
          <w:rFonts w:hint="default" w:cs="Times New Roman"/>
          <w:sz w:val="24"/>
          <w:szCs w:val="24"/>
          <w:lang w:val="en-US" w:eastAsia="zh-CN"/>
        </w:rPr>
      </w:pPr>
      <w:r>
        <w:rPr>
          <w:rFonts w:hint="eastAsia" w:ascii="宋体" w:hAnsi="宋体" w:cs="宋体"/>
          <w:sz w:val="24"/>
          <w:szCs w:val="24"/>
          <w:lang w:val="en-US" w:eastAsia="zh-CN"/>
        </w:rPr>
        <w:t>在</w:t>
      </w:r>
      <w:r>
        <w:rPr>
          <w:rFonts w:ascii="宋体" w:hAnsi="宋体" w:eastAsia="宋体" w:cs="宋体"/>
          <w:sz w:val="24"/>
          <w:szCs w:val="24"/>
        </w:rPr>
        <w:t>“气候变化”议题</w:t>
      </w:r>
      <w:r>
        <w:rPr>
          <w:rFonts w:hint="eastAsia" w:ascii="宋体" w:hAnsi="宋体" w:cs="宋体"/>
          <w:sz w:val="24"/>
          <w:szCs w:val="24"/>
          <w:lang w:val="en-US" w:eastAsia="zh-CN"/>
        </w:rPr>
        <w:t>下设置</w:t>
      </w:r>
      <w:r>
        <w:rPr>
          <w:rFonts w:ascii="宋体" w:hAnsi="宋体" w:eastAsia="宋体" w:cs="宋体"/>
          <w:sz w:val="24"/>
          <w:szCs w:val="24"/>
        </w:rPr>
        <w:t>“温室气体”和“能源”</w:t>
      </w:r>
      <w:r>
        <w:rPr>
          <w:rFonts w:hint="eastAsia" w:ascii="宋体" w:hAnsi="宋体" w:cs="宋体"/>
          <w:sz w:val="24"/>
          <w:szCs w:val="24"/>
          <w:lang w:val="en-US" w:eastAsia="zh-CN"/>
        </w:rPr>
        <w:t>两个披露项。温室气体排放是气候变化的主要元凶，目前，已出台了很多国际法规和激励制度，如排放交易，旨在控制温室气体排放量，并奖励温室气体减排。能源包含可再生能源（例如风能、水电或太阳能）与不可再生能源（例如煤、石油、天然气）。更有效地利用能源和选择可再生能源，对于应对气候变化和降低企业整体环境影响至关重要。</w:t>
      </w:r>
    </w:p>
    <w:p>
      <w:pPr>
        <w:ind w:firstLine="420" w:firstLineChars="0"/>
        <w:rPr>
          <w:rFonts w:ascii="宋体" w:hAnsi="宋体" w:eastAsia="宋体" w:cs="宋体"/>
          <w:sz w:val="24"/>
          <w:szCs w:val="24"/>
        </w:rPr>
      </w:pPr>
      <w:r>
        <w:rPr>
          <w:rStyle w:val="26"/>
          <w:rFonts w:hint="eastAsia" w:ascii="宋体" w:hAnsi="宋体" w:eastAsia="宋体" w:cs="宋体"/>
          <w:sz w:val="24"/>
          <w:szCs w:val="24"/>
          <w:lang w:val="en-US" w:eastAsia="zh-CN"/>
        </w:rPr>
        <w:t>温室气体排放：</w:t>
      </w:r>
      <w:r>
        <w:rPr>
          <w:rFonts w:hint="eastAsia" w:ascii="宋体" w:hAnsi="宋体" w:cs="宋体"/>
          <w:sz w:val="24"/>
          <w:szCs w:val="24"/>
          <w:lang w:val="en-US" w:eastAsia="zh-CN"/>
        </w:rPr>
        <w:t>披</w:t>
      </w:r>
      <w:r>
        <w:rPr>
          <w:rFonts w:ascii="宋体" w:hAnsi="宋体" w:eastAsia="宋体" w:cs="宋体"/>
          <w:sz w:val="24"/>
          <w:szCs w:val="24"/>
        </w:rPr>
        <w:t>露温室气体排放数据，有助于外部利益相关者了解企业对气候变化</w:t>
      </w:r>
      <w:r>
        <w:rPr>
          <w:rFonts w:hint="eastAsia" w:ascii="宋体" w:hAnsi="宋体" w:cs="宋体"/>
          <w:sz w:val="24"/>
          <w:szCs w:val="24"/>
          <w:lang w:val="en-US" w:eastAsia="zh-CN"/>
        </w:rPr>
        <w:t>改善</w:t>
      </w:r>
      <w:r>
        <w:rPr>
          <w:rFonts w:ascii="宋体" w:hAnsi="宋体" w:eastAsia="宋体" w:cs="宋体"/>
          <w:sz w:val="24"/>
          <w:szCs w:val="24"/>
        </w:rPr>
        <w:t>的具体贡献，以及企业是如何通过技术创新、改进生产流程等方式来减少排放的。</w:t>
      </w:r>
    </w:p>
    <w:p>
      <w:pPr>
        <w:ind w:firstLine="420" w:firstLineChars="0"/>
        <w:rPr>
          <w:rFonts w:ascii="宋体" w:hAnsi="宋体" w:eastAsia="宋体" w:cs="宋体"/>
          <w:sz w:val="24"/>
          <w:szCs w:val="24"/>
        </w:rPr>
      </w:pPr>
      <w:r>
        <w:rPr>
          <w:rStyle w:val="26"/>
          <w:rFonts w:ascii="宋体" w:hAnsi="宋体" w:eastAsia="宋体" w:cs="宋体"/>
          <w:sz w:val="24"/>
          <w:szCs w:val="24"/>
        </w:rPr>
        <w:t>能源使用</w:t>
      </w:r>
      <w:r>
        <w:rPr>
          <w:rFonts w:ascii="宋体" w:hAnsi="宋体" w:eastAsia="宋体" w:cs="宋体"/>
          <w:sz w:val="24"/>
          <w:szCs w:val="24"/>
        </w:rPr>
        <w:t>：建筑材料行业能源消耗</w:t>
      </w:r>
      <w:r>
        <w:rPr>
          <w:rFonts w:hint="eastAsia" w:ascii="宋体" w:hAnsi="宋体" w:cs="宋体"/>
          <w:sz w:val="24"/>
          <w:szCs w:val="24"/>
          <w:lang w:val="en-US" w:eastAsia="zh-CN"/>
        </w:rPr>
        <w:t>较</w:t>
      </w:r>
      <w:r>
        <w:rPr>
          <w:rFonts w:ascii="宋体" w:hAnsi="宋体" w:eastAsia="宋体" w:cs="宋体"/>
          <w:sz w:val="24"/>
          <w:szCs w:val="24"/>
        </w:rPr>
        <w:t>大，不仅涉及生产过程中的直接能源使用（如燃料），还包括间接能源消耗（如电力）。通过披露能源使用情况，企业能展示其能源效率和对可再生能源的承诺程度，这对于评估企业的能源风险管理和未来可持续性至关重要。</w:t>
      </w:r>
    </w:p>
    <w:p>
      <w:pPr>
        <w:pStyle w:val="5"/>
        <w:rPr>
          <w:rFonts w:hint="eastAsia"/>
          <w:lang w:val="en-US" w:eastAsia="zh-CN"/>
        </w:rPr>
      </w:pPr>
      <w:r>
        <w:rPr>
          <w:rFonts w:hint="eastAsia"/>
          <w:lang w:val="en-US" w:eastAsia="zh-CN"/>
        </w:rPr>
        <w:t>2.7.1.2 指标的选取</w:t>
      </w:r>
    </w:p>
    <w:p>
      <w:pPr>
        <w:spacing w:line="360" w:lineRule="auto"/>
        <w:ind w:firstLine="480"/>
        <w:rPr>
          <w:rFonts w:hint="default" w:cs="Times New Roman"/>
          <w:sz w:val="24"/>
          <w:szCs w:val="24"/>
          <w:lang w:val="en-US" w:eastAsia="zh-CN"/>
        </w:rPr>
      </w:pPr>
      <w:r>
        <w:rPr>
          <w:rFonts w:hint="eastAsia" w:cs="Times New Roman"/>
          <w:sz w:val="24"/>
          <w:szCs w:val="24"/>
          <w:lang w:val="en-US" w:eastAsia="zh-CN"/>
        </w:rPr>
        <w:t>将本文件议题下的专题披露项（即标题所指的指标）对照IFRS、ESRS、国证ESG、GRI、港交所的ESG信息披露框架，旨在说明该指标的主流披露框架覆盖率、适用性以及其科学合理性。</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1386"/>
        <w:gridCol w:w="2167"/>
        <w:gridCol w:w="1146"/>
        <w:gridCol w:w="1318"/>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7" w:type="dxa"/>
          </w:tcPr>
          <w:p>
            <w:pPr>
              <w:spacing w:line="240" w:lineRule="auto"/>
              <w:jc w:val="both"/>
              <w:rPr>
                <w:rFonts w:hint="default" w:ascii="Times New Roman" w:hAnsi="Times New Roman" w:eastAsia="宋体"/>
                <w:b w:val="0"/>
                <w:bCs w:val="0"/>
                <w:sz w:val="18"/>
                <w:szCs w:val="18"/>
                <w:lang w:val="en-US" w:eastAsia="zh-CN"/>
              </w:rPr>
            </w:pPr>
          </w:p>
        </w:tc>
        <w:tc>
          <w:tcPr>
            <w:tcW w:w="2013" w:type="dxa"/>
          </w:tcPr>
          <w:p>
            <w:pPr>
              <w:spacing w:line="240" w:lineRule="auto"/>
              <w:jc w:val="both"/>
              <w:rPr>
                <w:rFonts w:hint="default" w:ascii="Times New Roman" w:hAnsi="Times New Roman" w:eastAsia="宋体"/>
                <w:b w:val="0"/>
                <w:bCs w:val="0"/>
                <w:sz w:val="18"/>
                <w:szCs w:val="18"/>
                <w:lang w:val="en-US" w:eastAsia="zh-CN"/>
              </w:rPr>
            </w:pPr>
            <w:r>
              <w:rPr>
                <w:rFonts w:hint="default" w:ascii="Times New Roman" w:hAnsi="Times New Roman" w:eastAsia="宋体"/>
                <w:b w:val="0"/>
                <w:bCs w:val="0"/>
                <w:sz w:val="18"/>
                <w:szCs w:val="18"/>
                <w:lang w:val="en-US" w:eastAsia="zh-CN"/>
              </w:rPr>
              <w:t>IFRS</w:t>
            </w:r>
          </w:p>
        </w:tc>
        <w:tc>
          <w:tcPr>
            <w:tcW w:w="3374" w:type="dxa"/>
          </w:tcPr>
          <w:p>
            <w:pPr>
              <w:spacing w:line="240" w:lineRule="auto"/>
              <w:jc w:val="both"/>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ESRS</w:t>
            </w:r>
          </w:p>
        </w:tc>
        <w:tc>
          <w:tcPr>
            <w:tcW w:w="1613" w:type="dxa"/>
          </w:tcPr>
          <w:p>
            <w:pPr>
              <w:spacing w:line="240" w:lineRule="auto"/>
              <w:jc w:val="both"/>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国证ESG</w:t>
            </w:r>
          </w:p>
        </w:tc>
        <w:tc>
          <w:tcPr>
            <w:tcW w:w="1947" w:type="dxa"/>
          </w:tcPr>
          <w:p>
            <w:pPr>
              <w:spacing w:line="240" w:lineRule="auto"/>
              <w:jc w:val="both"/>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w:t>
            </w:r>
          </w:p>
        </w:tc>
        <w:tc>
          <w:tcPr>
            <w:tcW w:w="2080" w:type="dxa"/>
          </w:tcPr>
          <w:p>
            <w:pPr>
              <w:spacing w:line="240" w:lineRule="auto"/>
              <w:jc w:val="both"/>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港交所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7" w:type="dxa"/>
          </w:tcPr>
          <w:p>
            <w:pPr>
              <w:spacing w:line="240" w:lineRule="auto"/>
              <w:jc w:val="both"/>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温室气体排放</w:t>
            </w:r>
          </w:p>
        </w:tc>
        <w:tc>
          <w:tcPr>
            <w:tcW w:w="2013" w:type="dxa"/>
          </w:tcPr>
          <w:p>
            <w:pPr>
              <w:spacing w:line="240" w:lineRule="auto"/>
              <w:jc w:val="both"/>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气候相关指标-温室气体</w:t>
            </w:r>
          </w:p>
        </w:tc>
        <w:tc>
          <w:tcPr>
            <w:tcW w:w="3374" w:type="dxa"/>
          </w:tcPr>
          <w:p>
            <w:pPr>
              <w:spacing w:line="240" w:lineRule="auto"/>
              <w:jc w:val="both"/>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披露要求E1 气候变化</w:t>
            </w:r>
          </w:p>
          <w:p>
            <w:pPr>
              <w:spacing w:line="240" w:lineRule="auto"/>
              <w:jc w:val="both"/>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6 范围1、2、3与总温室气体排放量</w:t>
            </w:r>
          </w:p>
          <w:p>
            <w:pPr>
              <w:spacing w:line="240" w:lineRule="auto"/>
              <w:jc w:val="both"/>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7 通过碳信用融资的温室气体减除与缓解项目</w:t>
            </w:r>
          </w:p>
        </w:tc>
        <w:tc>
          <w:tcPr>
            <w:tcW w:w="1613" w:type="dxa"/>
          </w:tcPr>
          <w:p>
            <w:pPr>
              <w:spacing w:line="240" w:lineRule="auto"/>
              <w:jc w:val="both"/>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气候变化-温室气体排放</w:t>
            </w:r>
          </w:p>
        </w:tc>
        <w:tc>
          <w:tcPr>
            <w:tcW w:w="1947" w:type="dxa"/>
          </w:tcPr>
          <w:p>
            <w:pPr>
              <w:spacing w:line="240" w:lineRule="auto"/>
              <w:jc w:val="both"/>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305 排放</w:t>
            </w:r>
          </w:p>
        </w:tc>
        <w:tc>
          <w:tcPr>
            <w:tcW w:w="2080" w:type="dxa"/>
          </w:tcPr>
          <w:p>
            <w:pPr>
              <w:spacing w:line="240" w:lineRule="auto"/>
              <w:jc w:val="both"/>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环境保护-排放物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7" w:type="dxa"/>
          </w:tcPr>
          <w:p>
            <w:pPr>
              <w:spacing w:line="240" w:lineRule="auto"/>
              <w:jc w:val="both"/>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能源</w:t>
            </w:r>
          </w:p>
        </w:tc>
        <w:tc>
          <w:tcPr>
            <w:tcW w:w="2013" w:type="dxa"/>
          </w:tcPr>
          <w:p>
            <w:pPr>
              <w:spacing w:line="240" w:lineRule="auto"/>
              <w:jc w:val="both"/>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气候弹性-能源使用与结构</w:t>
            </w:r>
          </w:p>
        </w:tc>
        <w:tc>
          <w:tcPr>
            <w:tcW w:w="3374" w:type="dxa"/>
          </w:tcPr>
          <w:p>
            <w:pPr>
              <w:spacing w:line="240" w:lineRule="auto"/>
              <w:jc w:val="both"/>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披露要求E1 气候变化</w:t>
            </w:r>
          </w:p>
          <w:p>
            <w:pPr>
              <w:spacing w:line="240" w:lineRule="auto"/>
              <w:jc w:val="both"/>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5 能源的消耗与结构</w:t>
            </w:r>
          </w:p>
        </w:tc>
        <w:tc>
          <w:tcPr>
            <w:tcW w:w="1613" w:type="dxa"/>
          </w:tcPr>
          <w:p>
            <w:pPr>
              <w:spacing w:line="240" w:lineRule="auto"/>
              <w:jc w:val="both"/>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资源利用-能源耗用</w:t>
            </w:r>
          </w:p>
        </w:tc>
        <w:tc>
          <w:tcPr>
            <w:tcW w:w="1947" w:type="dxa"/>
          </w:tcPr>
          <w:p>
            <w:pPr>
              <w:spacing w:line="240" w:lineRule="auto"/>
              <w:jc w:val="both"/>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302 能源</w:t>
            </w:r>
          </w:p>
        </w:tc>
        <w:tc>
          <w:tcPr>
            <w:tcW w:w="2080" w:type="dxa"/>
          </w:tcPr>
          <w:p>
            <w:pPr>
              <w:spacing w:line="240" w:lineRule="auto"/>
              <w:jc w:val="both"/>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环境保护-资源使用</w:t>
            </w:r>
          </w:p>
        </w:tc>
      </w:tr>
    </w:tbl>
    <w:p>
      <w:pPr>
        <w:pStyle w:val="5"/>
        <w:rPr>
          <w:rFonts w:hint="eastAsia"/>
          <w:lang w:val="en-US" w:eastAsia="zh-CN"/>
        </w:rPr>
      </w:pPr>
      <w:r>
        <w:rPr>
          <w:rFonts w:hint="eastAsia"/>
          <w:lang w:val="en-US" w:eastAsia="zh-CN"/>
        </w:rPr>
        <w:t>2.7.1.3战略、目标与举措</w:t>
      </w:r>
    </w:p>
    <w:p>
      <w:pPr>
        <w:spacing w:line="360" w:lineRule="auto"/>
        <w:ind w:firstLine="480"/>
        <w:rPr>
          <w:rFonts w:hint="eastAsia" w:cs="Times New Roman"/>
          <w:sz w:val="24"/>
          <w:szCs w:val="24"/>
          <w:lang w:val="en-US" w:eastAsia="zh-CN"/>
        </w:rPr>
      </w:pPr>
      <w:r>
        <w:rPr>
          <w:rFonts w:hint="eastAsia" w:cs="Times New Roman"/>
          <w:sz w:val="24"/>
          <w:szCs w:val="24"/>
          <w:lang w:val="en-US" w:eastAsia="zh-CN"/>
        </w:rPr>
        <w:t>本文件在考虑企业自身经营状况的基础上，对实质性议题进行风险与机遇的分析与管理，进而提出具体的战略、目标与策略。因而，本文件选用SWOT模型（即波士顿分析法）对具体议题进行策略性分析，帮助识别具体议题下的内部和外部环境的关键因素，为制定战略、提出目标和做出决策提供指导。通常用 SW 来分析企业内部状况，用 OT 来分析外部风险与机遇。</w:t>
      </w:r>
    </w:p>
    <w:p>
      <w:pPr>
        <w:numPr>
          <w:ilvl w:val="0"/>
          <w:numId w:val="4"/>
        </w:numPr>
        <w:spacing w:line="360" w:lineRule="auto"/>
        <w:ind w:left="840" w:leftChars="0" w:hanging="420" w:firstLineChars="0"/>
        <w:rPr>
          <w:rFonts w:hint="eastAsia" w:cs="Times New Roman"/>
          <w:sz w:val="24"/>
          <w:szCs w:val="24"/>
          <w:lang w:val="en-US" w:eastAsia="zh-CN"/>
        </w:rPr>
      </w:pPr>
      <w:r>
        <w:rPr>
          <w:rFonts w:hint="eastAsia" w:cs="Times New Roman"/>
          <w:sz w:val="24"/>
          <w:szCs w:val="24"/>
          <w:lang w:val="en-US" w:eastAsia="zh-CN"/>
        </w:rPr>
        <w:t>S表示企业自身优势，属于内部条件。</w:t>
      </w:r>
    </w:p>
    <w:p>
      <w:pPr>
        <w:numPr>
          <w:ilvl w:val="0"/>
          <w:numId w:val="4"/>
        </w:numPr>
        <w:spacing w:line="360" w:lineRule="auto"/>
        <w:ind w:left="840" w:leftChars="0" w:hanging="420" w:firstLineChars="0"/>
        <w:rPr>
          <w:rFonts w:hint="eastAsia" w:cs="Times New Roman"/>
          <w:sz w:val="24"/>
          <w:szCs w:val="24"/>
          <w:lang w:val="en-US" w:eastAsia="zh-CN"/>
        </w:rPr>
      </w:pPr>
      <w:r>
        <w:rPr>
          <w:rFonts w:hint="eastAsia" w:cs="Times New Roman"/>
          <w:sz w:val="24"/>
          <w:szCs w:val="24"/>
          <w:lang w:val="en-US" w:eastAsia="zh-CN"/>
        </w:rPr>
        <w:t>W指企业自身劣势，属于内部条件。</w:t>
      </w:r>
    </w:p>
    <w:p>
      <w:pPr>
        <w:numPr>
          <w:ilvl w:val="0"/>
          <w:numId w:val="4"/>
        </w:numPr>
        <w:spacing w:line="360" w:lineRule="auto"/>
        <w:ind w:left="840" w:leftChars="0" w:hanging="420" w:firstLineChars="0"/>
        <w:rPr>
          <w:rFonts w:hint="eastAsia" w:cs="Times New Roman"/>
          <w:sz w:val="24"/>
          <w:szCs w:val="24"/>
          <w:lang w:val="en-US" w:eastAsia="zh-CN"/>
        </w:rPr>
      </w:pPr>
      <w:r>
        <w:rPr>
          <w:rFonts w:hint="eastAsia" w:cs="Times New Roman"/>
          <w:sz w:val="24"/>
          <w:szCs w:val="24"/>
          <w:lang w:val="en-US" w:eastAsia="zh-CN"/>
        </w:rPr>
        <w:t>O表示外部环境给企业带来的机遇，如果企业抓住机遇，会使得企业处于竞争的优势地位，提高企业竞争力。</w:t>
      </w:r>
    </w:p>
    <w:p>
      <w:pPr>
        <w:numPr>
          <w:ilvl w:val="0"/>
          <w:numId w:val="4"/>
        </w:numPr>
        <w:spacing w:line="360" w:lineRule="auto"/>
        <w:ind w:left="840" w:leftChars="0" w:hanging="420" w:firstLineChars="0"/>
        <w:rPr>
          <w:rFonts w:hint="eastAsia" w:cs="Times New Roman"/>
          <w:sz w:val="24"/>
          <w:szCs w:val="24"/>
          <w:lang w:val="en-US" w:eastAsia="zh-CN"/>
        </w:rPr>
      </w:pPr>
      <w:r>
        <w:rPr>
          <w:rFonts w:hint="eastAsia" w:cs="Times New Roman"/>
          <w:sz w:val="24"/>
          <w:szCs w:val="24"/>
          <w:lang w:val="en-US" w:eastAsia="zh-CN"/>
        </w:rPr>
        <w:t>T表示外部环境给企业造成的风险，若企业无法有效管理并降低风险，可能就会逐渐降低企业竞争力，使自身处于劣势地位。</w:t>
      </w:r>
    </w:p>
    <w:p>
      <w:pPr>
        <w:numPr>
          <w:ilvl w:val="0"/>
          <w:numId w:val="0"/>
        </w:numPr>
        <w:spacing w:line="360" w:lineRule="auto"/>
        <w:ind w:left="420" w:leftChars="0"/>
        <w:rPr>
          <w:rFonts w:hint="eastAsia" w:cs="Times New Roman"/>
          <w:sz w:val="24"/>
          <w:szCs w:val="24"/>
          <w:lang w:val="en-US" w:eastAsia="zh-CN"/>
        </w:rPr>
      </w:pPr>
    </w:p>
    <w:p>
      <w:pPr>
        <w:spacing w:line="360" w:lineRule="auto"/>
        <w:jc w:val="center"/>
      </w:pPr>
      <w:r>
        <w:drawing>
          <wp:inline distT="0" distB="0" distL="114300" distR="114300">
            <wp:extent cx="4676140" cy="2914015"/>
            <wp:effectExtent l="0" t="0" r="10160" b="63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9"/>
                    <a:stretch>
                      <a:fillRect/>
                    </a:stretch>
                  </pic:blipFill>
                  <pic:spPr>
                    <a:xfrm>
                      <a:off x="0" y="0"/>
                      <a:ext cx="4676140" cy="2914015"/>
                    </a:xfrm>
                    <a:prstGeom prst="rect">
                      <a:avLst/>
                    </a:prstGeom>
                    <a:noFill/>
                    <a:ln>
                      <a:noFill/>
                    </a:ln>
                  </pic:spPr>
                </pic:pic>
              </a:graphicData>
            </a:graphic>
          </wp:inline>
        </w:drawing>
      </w:r>
    </w:p>
    <w:p>
      <w:pPr>
        <w:spacing w:line="360" w:lineRule="auto"/>
        <w:ind w:firstLine="420" w:firstLineChars="20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图 2 SWOT分析法</w:t>
      </w:r>
    </w:p>
    <w:p>
      <w:pPr>
        <w:spacing w:line="360" w:lineRule="auto"/>
        <w:ind w:firstLine="480"/>
        <w:rPr>
          <w:rFonts w:hint="eastAsia" w:cs="Times New Roman"/>
          <w:sz w:val="24"/>
          <w:szCs w:val="24"/>
          <w:lang w:val="en-US" w:eastAsia="zh-CN"/>
        </w:rPr>
      </w:pPr>
      <w:r>
        <w:rPr>
          <w:rFonts w:hint="eastAsia" w:cs="Times New Roman"/>
          <w:sz w:val="24"/>
          <w:szCs w:val="24"/>
          <w:lang w:val="en-US" w:eastAsia="zh-CN"/>
        </w:rPr>
        <w:t>SO（优势+机会）：进攻战略，快速发展；</w:t>
      </w:r>
    </w:p>
    <w:p>
      <w:pPr>
        <w:spacing w:line="360" w:lineRule="auto"/>
        <w:ind w:firstLine="480"/>
        <w:rPr>
          <w:rFonts w:hint="eastAsia" w:cs="Times New Roman"/>
          <w:sz w:val="24"/>
          <w:szCs w:val="24"/>
          <w:lang w:val="en-US" w:eastAsia="zh-CN"/>
        </w:rPr>
      </w:pPr>
      <w:r>
        <w:rPr>
          <w:rFonts w:hint="eastAsia" w:cs="Times New Roman"/>
          <w:sz w:val="24"/>
          <w:szCs w:val="24"/>
          <w:lang w:val="en-US" w:eastAsia="zh-CN"/>
        </w:rPr>
        <w:t>WO（劣势+机会）：改善战略，扬长避短；</w:t>
      </w:r>
    </w:p>
    <w:p>
      <w:pPr>
        <w:spacing w:line="360" w:lineRule="auto"/>
        <w:ind w:firstLine="480"/>
        <w:rPr>
          <w:rFonts w:hint="eastAsia" w:cs="Times New Roman"/>
          <w:sz w:val="24"/>
          <w:szCs w:val="24"/>
          <w:lang w:val="en-US" w:eastAsia="zh-CN"/>
        </w:rPr>
      </w:pPr>
      <w:r>
        <w:rPr>
          <w:rFonts w:hint="eastAsia" w:cs="Times New Roman"/>
          <w:sz w:val="24"/>
          <w:szCs w:val="24"/>
          <w:lang w:val="en-US" w:eastAsia="zh-CN"/>
        </w:rPr>
        <w:t>ST（优势+风险）：缓冲战略，趋利避害；</w:t>
      </w:r>
    </w:p>
    <w:p>
      <w:pPr>
        <w:spacing w:line="360" w:lineRule="auto"/>
        <w:ind w:firstLine="480"/>
        <w:rPr>
          <w:rFonts w:hint="eastAsia" w:cs="Times New Roman"/>
          <w:sz w:val="24"/>
          <w:szCs w:val="24"/>
          <w:lang w:val="en-US" w:eastAsia="zh-CN"/>
        </w:rPr>
      </w:pPr>
      <w:r>
        <w:rPr>
          <w:rFonts w:hint="eastAsia" w:cs="Times New Roman"/>
          <w:sz w:val="24"/>
          <w:szCs w:val="24"/>
          <w:lang w:val="en-US" w:eastAsia="zh-CN"/>
        </w:rPr>
        <w:t>WT（劣势+风险）：保守战略，按兵不动，修炼内功。</w:t>
      </w:r>
    </w:p>
    <w:p>
      <w:pPr>
        <w:spacing w:line="360" w:lineRule="auto"/>
        <w:ind w:firstLine="480"/>
        <w:rPr>
          <w:rFonts w:hint="eastAsia"/>
          <w:lang w:val="en-US" w:eastAsia="zh-CN"/>
        </w:rPr>
      </w:pPr>
      <w:r>
        <w:rPr>
          <w:rFonts w:hint="eastAsia" w:cs="Times New Roman"/>
          <w:sz w:val="24"/>
          <w:szCs w:val="24"/>
          <w:lang w:val="en-US" w:eastAsia="zh-CN"/>
        </w:rPr>
        <w:t>具体到气候变化议题。就企业自身业态而言，由于建筑材料行业</w:t>
      </w:r>
      <w:r>
        <w:rPr>
          <w:rFonts w:hint="eastAsia"/>
          <w:lang w:val="en-US" w:eastAsia="zh-CN"/>
        </w:rPr>
        <w:t>具有碳密集特性，其主要消耗能源为煤炭等化石燃料。就外部环境变化而言，气候变化是当下所面临的首要全球性环境问题，可能造成一系列的自然灾害，给人类生产生活带来严重影响；然而，着眼于气候变化应对的低碳发展，正在全球多个主要国家呈现出加速度前行的跨越态势，并极有可能提前实现经济发展与气候变化的“脱钩”。因而属于风险与机遇并存的态势。因而对于企业来说，应根据自身现状选择WO或WT战略，即改善战略，扬长避短；或保守应对，修炼内功。企业需全面评估温室气体排放相关风险，识别减排的机会并设定目标。尤其是窑炉企业，通过综合利用太阳能、风能、地热能及氢能等可再生绿色能源，开展工业、生活、农林等有热值废弃物协同处置，合理使用周边产业的余热余温等满足生产及配套设施需求，减少化石能源消耗；并有效利用生产工艺过程的余热余温及厂区内外的土地、厂房、矿山等区域，采用太阳能、风能、潮汐、地热、势能等资源进行发电，产生能满足企业生产及配套设施用电需求的绿电，实现可持续发展。</w:t>
      </w:r>
    </w:p>
    <w:p>
      <w:pPr>
        <w:pStyle w:val="5"/>
        <w:rPr>
          <w:rFonts w:hint="default"/>
          <w:lang w:val="en-US" w:eastAsia="zh-CN"/>
        </w:rPr>
      </w:pPr>
      <w:r>
        <w:rPr>
          <w:rFonts w:hint="eastAsia"/>
          <w:lang w:val="en-US" w:eastAsia="zh-CN"/>
        </w:rPr>
        <w:t>2.7.1.4 特定行业指南</w:t>
      </w:r>
    </w:p>
    <w:p>
      <w:pPr>
        <w:widowControl w:val="0"/>
        <w:numPr>
          <w:ilvl w:val="0"/>
          <w:numId w:val="0"/>
        </w:numPr>
        <w:spacing w:line="360" w:lineRule="auto"/>
        <w:ind w:firstLine="420" w:firstLineChars="0"/>
        <w:jc w:val="both"/>
        <w:rPr>
          <w:rFonts w:hint="default"/>
          <w:highlight w:val="none"/>
          <w:lang w:val="en-US" w:eastAsia="zh-CN"/>
        </w:rPr>
      </w:pPr>
      <w:r>
        <w:rPr>
          <w:rFonts w:hint="eastAsia"/>
          <w:highlight w:val="none"/>
          <w:lang w:val="en-US" w:eastAsia="zh-CN"/>
        </w:rPr>
        <w:t>建筑原材料行业与建筑部品产品行业就气候变化议题而言各有侧重，水泥、平板玻璃等建筑原材料行业更关注生产过程消耗的能源与排放的温室气体；而门窗、保温层等建筑部品产品在从生产到使用维护的全生命周期中都会造成大量温室气体排放，因而后者更强调价值链的排放。表3对比了国际主流特定行业气候变化议题的不同披露要求。</w:t>
      </w:r>
    </w:p>
    <w:p>
      <w:pPr>
        <w:spacing w:line="360" w:lineRule="auto"/>
        <w:ind w:firstLine="420" w:firstLineChars="200"/>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表3 特定行业气候变化信息披露与评级指标要求</w:t>
      </w:r>
    </w:p>
    <w:tbl>
      <w:tblPr>
        <w:tblStyle w:val="24"/>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2"/>
        <w:gridCol w:w="2263"/>
        <w:gridCol w:w="2692"/>
        <w:gridCol w:w="2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1492" w:type="dxa"/>
            <w:vAlign w:val="center"/>
          </w:tcPr>
          <w:p>
            <w:pPr>
              <w:spacing w:line="240" w:lineRule="auto"/>
              <w:jc w:val="center"/>
              <w:rPr>
                <w:rFonts w:hint="default" w:ascii="Times New Roman" w:hAnsi="Times New Roman" w:eastAsia="宋体"/>
                <w:b w:val="0"/>
                <w:bCs w:val="0"/>
                <w:sz w:val="18"/>
                <w:szCs w:val="18"/>
                <w:lang w:val="en-US" w:eastAsia="zh-CN"/>
              </w:rPr>
            </w:pPr>
          </w:p>
        </w:tc>
        <w:tc>
          <w:tcPr>
            <w:tcW w:w="2263" w:type="dxa"/>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披露框架</w:t>
            </w:r>
          </w:p>
        </w:tc>
        <w:tc>
          <w:tcPr>
            <w:tcW w:w="5199" w:type="dxa"/>
            <w:gridSpan w:val="2"/>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评级框架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92" w:type="dxa"/>
            <w:vAlign w:val="center"/>
          </w:tcPr>
          <w:p>
            <w:pPr>
              <w:spacing w:line="240" w:lineRule="auto"/>
              <w:jc w:val="center"/>
              <w:rPr>
                <w:rFonts w:hint="default" w:ascii="Times New Roman" w:hAnsi="Times New Roman" w:eastAsia="宋体"/>
                <w:b w:val="0"/>
                <w:bCs w:val="0"/>
                <w:sz w:val="18"/>
                <w:szCs w:val="18"/>
                <w:lang w:val="en-US" w:eastAsia="zh-CN"/>
              </w:rPr>
            </w:pPr>
          </w:p>
        </w:tc>
        <w:tc>
          <w:tcPr>
            <w:tcW w:w="2263" w:type="dxa"/>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IFRS</w:t>
            </w:r>
          </w:p>
        </w:tc>
        <w:tc>
          <w:tcPr>
            <w:tcW w:w="2692" w:type="dxa"/>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MSCI</w:t>
            </w:r>
          </w:p>
        </w:tc>
        <w:tc>
          <w:tcPr>
            <w:tcW w:w="2507" w:type="dxa"/>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CSA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492" w:type="dxa"/>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建筑原材料</w:t>
            </w:r>
          </w:p>
        </w:tc>
        <w:tc>
          <w:tcPr>
            <w:tcW w:w="2263" w:type="dxa"/>
            <w:vAlign w:val="center"/>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温室气体排放</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能源管理</w:t>
            </w:r>
          </w:p>
        </w:tc>
        <w:tc>
          <w:tcPr>
            <w:tcW w:w="2692" w:type="dxa"/>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温室气体排放</w:t>
            </w:r>
          </w:p>
        </w:tc>
        <w:tc>
          <w:tcPr>
            <w:tcW w:w="2507" w:type="dxa"/>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气候政策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492" w:type="dxa"/>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建筑部品产品</w:t>
            </w:r>
          </w:p>
        </w:tc>
        <w:tc>
          <w:tcPr>
            <w:tcW w:w="2263" w:type="dxa"/>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制造中的能源管理</w:t>
            </w:r>
          </w:p>
        </w:tc>
        <w:tc>
          <w:tcPr>
            <w:tcW w:w="2692" w:type="dxa"/>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温室气体排放</w:t>
            </w:r>
          </w:p>
        </w:tc>
        <w:tc>
          <w:tcPr>
            <w:tcW w:w="2507" w:type="dxa"/>
            <w:vAlign w:val="center"/>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气候政策</w:t>
            </w:r>
          </w:p>
        </w:tc>
      </w:tr>
    </w:tbl>
    <w:p>
      <w:pPr>
        <w:pStyle w:val="4"/>
        <w:rPr>
          <w:rFonts w:hint="default" w:ascii="Times New Roman" w:hAnsi="Times New Roman"/>
          <w:lang w:val="en-US" w:eastAsia="zh-CN"/>
        </w:rPr>
      </w:pPr>
      <w:r>
        <w:rPr>
          <w:rFonts w:hint="default" w:ascii="Times New Roman" w:hAnsi="Times New Roman"/>
          <w:lang w:eastAsia="zh-CN"/>
        </w:rPr>
        <w:t>2</w:t>
      </w:r>
      <w:r>
        <w:rPr>
          <w:rFonts w:hint="eastAsia" w:ascii="Times New Roman" w:hAnsi="Times New Roman"/>
          <w:lang w:val="en-US" w:eastAsia="zh-Hans"/>
        </w:rPr>
        <w:t>.</w:t>
      </w:r>
      <w:r>
        <w:rPr>
          <w:rFonts w:hint="eastAsia" w:ascii="Times New Roman" w:hAnsi="Times New Roman"/>
          <w:lang w:val="en-US" w:eastAsia="zh-CN"/>
        </w:rPr>
        <w:t>7.2</w:t>
      </w:r>
      <w:r>
        <w:rPr>
          <w:rFonts w:hint="default" w:ascii="Times New Roman" w:hAnsi="Times New Roman"/>
          <w:lang w:val="en-US" w:eastAsia="zh-CN"/>
        </w:rPr>
        <w:t xml:space="preserve"> </w:t>
      </w:r>
      <w:r>
        <w:rPr>
          <w:rFonts w:hint="eastAsia" w:ascii="Times New Roman" w:hAnsi="Times New Roman"/>
          <w:lang w:val="en-US" w:eastAsia="zh-CN"/>
        </w:rPr>
        <w:t>污染物与废弃物</w:t>
      </w:r>
    </w:p>
    <w:p>
      <w:pPr>
        <w:pStyle w:val="5"/>
        <w:rPr>
          <w:rFonts w:hint="eastAsia"/>
          <w:lang w:val="en-US" w:eastAsia="zh-CN"/>
        </w:rPr>
      </w:pPr>
      <w:r>
        <w:rPr>
          <w:rFonts w:hint="eastAsia"/>
          <w:lang w:val="en-US" w:eastAsia="zh-CN"/>
        </w:rPr>
        <w:t>2.7..2.1 披露项的设置</w:t>
      </w:r>
    </w:p>
    <w:p>
      <w:pPr>
        <w:ind w:firstLine="480" w:firstLineChars="200"/>
        <w:rPr>
          <w:rFonts w:ascii="宋体" w:hAnsi="宋体" w:eastAsia="宋体" w:cs="宋体"/>
          <w:sz w:val="24"/>
          <w:szCs w:val="24"/>
        </w:rPr>
      </w:pPr>
      <w:r>
        <w:rPr>
          <w:rFonts w:ascii="宋体" w:hAnsi="宋体" w:eastAsia="宋体" w:cs="宋体"/>
          <w:sz w:val="24"/>
          <w:szCs w:val="24"/>
        </w:rPr>
        <w:t>建筑材料行业</w:t>
      </w:r>
      <w:r>
        <w:rPr>
          <w:rFonts w:hint="eastAsia" w:ascii="宋体" w:hAnsi="宋体" w:cs="宋体"/>
          <w:sz w:val="24"/>
          <w:szCs w:val="24"/>
          <w:lang w:val="en-US" w:eastAsia="zh-CN"/>
        </w:rPr>
        <w:t>属于</w:t>
      </w:r>
      <w:r>
        <w:rPr>
          <w:rFonts w:ascii="宋体" w:hAnsi="宋体" w:eastAsia="宋体" w:cs="宋体"/>
          <w:sz w:val="24"/>
          <w:szCs w:val="24"/>
        </w:rPr>
        <w:t>资源密集型行业，</w:t>
      </w:r>
      <w:r>
        <w:rPr>
          <w:rFonts w:hint="eastAsia" w:ascii="宋体" w:hAnsi="宋体" w:cs="宋体"/>
          <w:sz w:val="24"/>
          <w:szCs w:val="24"/>
          <w:lang w:val="en-US" w:eastAsia="zh-CN"/>
        </w:rPr>
        <w:t>在</w:t>
      </w:r>
      <w:r>
        <w:rPr>
          <w:rFonts w:ascii="宋体" w:hAnsi="宋体" w:eastAsia="宋体" w:cs="宋体"/>
          <w:sz w:val="24"/>
          <w:szCs w:val="24"/>
        </w:rPr>
        <w:t>生产过程不仅消耗大量能源，还</w:t>
      </w:r>
      <w:r>
        <w:rPr>
          <w:rFonts w:hint="eastAsia" w:ascii="宋体" w:hAnsi="宋体" w:cs="宋体"/>
          <w:sz w:val="24"/>
          <w:szCs w:val="24"/>
          <w:lang w:val="en-US" w:eastAsia="zh-CN"/>
        </w:rPr>
        <w:t>有可能</w:t>
      </w:r>
      <w:r>
        <w:rPr>
          <w:rFonts w:ascii="宋体" w:hAnsi="宋体" w:eastAsia="宋体" w:cs="宋体"/>
          <w:sz w:val="24"/>
          <w:szCs w:val="24"/>
        </w:rPr>
        <w:t>会产生各种污染物和废弃物。这些</w:t>
      </w:r>
      <w:r>
        <w:rPr>
          <w:rFonts w:hint="eastAsia" w:ascii="宋体" w:hAnsi="宋体" w:cs="宋体"/>
          <w:sz w:val="24"/>
          <w:szCs w:val="24"/>
          <w:lang w:val="en-US" w:eastAsia="zh-CN"/>
        </w:rPr>
        <w:t>污染物与</w:t>
      </w:r>
      <w:r>
        <w:rPr>
          <w:rFonts w:ascii="宋体" w:hAnsi="宋体" w:eastAsia="宋体" w:cs="宋体"/>
          <w:sz w:val="24"/>
          <w:szCs w:val="24"/>
        </w:rPr>
        <w:t>废弃物如果不加控制，将对环境造成长期而深远的</w:t>
      </w:r>
      <w:r>
        <w:rPr>
          <w:rFonts w:hint="eastAsia" w:ascii="宋体" w:hAnsi="宋体" w:cs="宋体"/>
          <w:sz w:val="24"/>
          <w:szCs w:val="24"/>
          <w:lang w:val="en-US" w:eastAsia="zh-CN"/>
        </w:rPr>
        <w:t>负面</w:t>
      </w:r>
      <w:r>
        <w:rPr>
          <w:rFonts w:ascii="宋体" w:hAnsi="宋体" w:eastAsia="宋体" w:cs="宋体"/>
          <w:sz w:val="24"/>
          <w:szCs w:val="24"/>
        </w:rPr>
        <w:t>影响。</w:t>
      </w:r>
      <w:r>
        <w:rPr>
          <w:rFonts w:hint="eastAsia" w:ascii="宋体" w:hAnsi="宋体" w:eastAsia="宋体" w:cs="宋体"/>
          <w:sz w:val="24"/>
          <w:szCs w:val="24"/>
        </w:rPr>
        <w:t>联合国认可负责任消费和生产在实现“可持续发展目标”中的作用。特别在目标12中呼吁组织实施对环境无害的废弃物管理方式，通过再利用和循环预防产生和减少废弃物。</w:t>
      </w:r>
      <w:r>
        <w:rPr>
          <w:rFonts w:hint="eastAsia" w:ascii="宋体" w:hAnsi="宋体" w:cs="宋体"/>
          <w:sz w:val="24"/>
          <w:szCs w:val="24"/>
          <w:lang w:val="en-US" w:eastAsia="zh-CN"/>
        </w:rPr>
        <w:t>建筑材料</w:t>
      </w:r>
      <w:r>
        <w:rPr>
          <w:rFonts w:ascii="宋体" w:hAnsi="宋体" w:eastAsia="宋体" w:cs="宋体"/>
          <w:sz w:val="24"/>
          <w:szCs w:val="24"/>
        </w:rPr>
        <w:t>企业</w:t>
      </w:r>
      <w:r>
        <w:rPr>
          <w:rFonts w:hint="eastAsia" w:ascii="宋体" w:hAnsi="宋体" w:cs="宋体"/>
          <w:sz w:val="24"/>
          <w:szCs w:val="24"/>
          <w:lang w:val="en-US" w:eastAsia="zh-CN"/>
        </w:rPr>
        <w:t>有责任</w:t>
      </w:r>
      <w:r>
        <w:rPr>
          <w:rFonts w:ascii="宋体" w:hAnsi="宋体" w:eastAsia="宋体" w:cs="宋体"/>
          <w:sz w:val="24"/>
          <w:szCs w:val="24"/>
        </w:rPr>
        <w:t>合理利用资源</w:t>
      </w:r>
      <w:r>
        <w:rPr>
          <w:rFonts w:hint="eastAsia" w:ascii="宋体" w:hAnsi="宋体" w:cs="宋体"/>
          <w:sz w:val="24"/>
          <w:szCs w:val="24"/>
          <w:lang w:val="en-US" w:eastAsia="zh-CN"/>
        </w:rPr>
        <w:t>以及</w:t>
      </w:r>
      <w:r>
        <w:rPr>
          <w:rFonts w:ascii="宋体" w:hAnsi="宋体" w:eastAsia="宋体" w:cs="宋体"/>
          <w:sz w:val="24"/>
          <w:szCs w:val="24"/>
        </w:rPr>
        <w:t>采取</w:t>
      </w:r>
      <w:r>
        <w:rPr>
          <w:rFonts w:hint="eastAsia" w:ascii="宋体" w:hAnsi="宋体" w:cs="宋体"/>
          <w:sz w:val="24"/>
          <w:szCs w:val="24"/>
          <w:lang w:val="en-US" w:eastAsia="zh-CN"/>
        </w:rPr>
        <w:t>足够</w:t>
      </w:r>
      <w:r>
        <w:rPr>
          <w:rFonts w:ascii="宋体" w:hAnsi="宋体" w:eastAsia="宋体" w:cs="宋体"/>
          <w:sz w:val="24"/>
          <w:szCs w:val="24"/>
        </w:rPr>
        <w:t>措施</w:t>
      </w:r>
      <w:r>
        <w:rPr>
          <w:rFonts w:hint="eastAsia" w:ascii="宋体" w:hAnsi="宋体" w:cs="宋体"/>
          <w:sz w:val="24"/>
          <w:szCs w:val="24"/>
          <w:lang w:val="en-US" w:eastAsia="zh-CN"/>
        </w:rPr>
        <w:t>来</w:t>
      </w:r>
      <w:r>
        <w:rPr>
          <w:rFonts w:ascii="宋体" w:hAnsi="宋体" w:eastAsia="宋体" w:cs="宋体"/>
          <w:sz w:val="24"/>
          <w:szCs w:val="24"/>
        </w:rPr>
        <w:t>减少污染物和废弃物的产生</w:t>
      </w:r>
      <w:r>
        <w:rPr>
          <w:rFonts w:hint="eastAsia" w:ascii="宋体" w:hAnsi="宋体" w:cs="宋体"/>
          <w:sz w:val="24"/>
          <w:szCs w:val="24"/>
          <w:lang w:eastAsia="zh-CN"/>
        </w:rPr>
        <w:t>，</w:t>
      </w:r>
      <w:r>
        <w:rPr>
          <w:rFonts w:hint="eastAsia" w:ascii="宋体" w:hAnsi="宋体" w:cs="宋体"/>
          <w:sz w:val="24"/>
          <w:szCs w:val="24"/>
          <w:lang w:val="en-US" w:eastAsia="zh-CN"/>
        </w:rPr>
        <w:t>并妥善处理好已经产生的废弃物</w:t>
      </w:r>
      <w:r>
        <w:rPr>
          <w:rFonts w:ascii="宋体" w:hAnsi="宋体" w:eastAsia="宋体" w:cs="宋体"/>
          <w:sz w:val="24"/>
          <w:szCs w:val="24"/>
        </w:rPr>
        <w:t>，这也是</w:t>
      </w:r>
      <w:r>
        <w:rPr>
          <w:rFonts w:hint="eastAsia" w:ascii="宋体" w:hAnsi="宋体" w:cs="宋体"/>
          <w:sz w:val="24"/>
          <w:szCs w:val="24"/>
          <w:lang w:val="en-US" w:eastAsia="zh-CN"/>
        </w:rPr>
        <w:t>企业达成</w:t>
      </w:r>
      <w:r>
        <w:rPr>
          <w:rFonts w:ascii="宋体" w:hAnsi="宋体" w:eastAsia="宋体" w:cs="宋体"/>
          <w:sz w:val="24"/>
          <w:szCs w:val="24"/>
        </w:rPr>
        <w:t>社会责任和</w:t>
      </w:r>
      <w:r>
        <w:rPr>
          <w:rFonts w:hint="eastAsia" w:ascii="宋体" w:hAnsi="宋体" w:cs="宋体"/>
          <w:sz w:val="24"/>
          <w:szCs w:val="24"/>
          <w:lang w:val="en-US" w:eastAsia="zh-CN"/>
        </w:rPr>
        <w:t>履行</w:t>
      </w:r>
      <w:r>
        <w:rPr>
          <w:rFonts w:ascii="宋体" w:hAnsi="宋体" w:eastAsia="宋体" w:cs="宋体"/>
          <w:sz w:val="24"/>
          <w:szCs w:val="24"/>
        </w:rPr>
        <w:t>环境保护</w:t>
      </w:r>
      <w:r>
        <w:rPr>
          <w:rFonts w:hint="eastAsia" w:ascii="宋体" w:hAnsi="宋体" w:cs="宋体"/>
          <w:sz w:val="24"/>
          <w:szCs w:val="24"/>
          <w:lang w:val="en-US" w:eastAsia="zh-CN"/>
        </w:rPr>
        <w:t>承诺</w:t>
      </w:r>
      <w:r>
        <w:rPr>
          <w:rFonts w:ascii="宋体" w:hAnsi="宋体" w:eastAsia="宋体" w:cs="宋体"/>
          <w:sz w:val="24"/>
          <w:szCs w:val="24"/>
        </w:rPr>
        <w:t>的体现。</w:t>
      </w:r>
    </w:p>
    <w:p>
      <w:pPr>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在</w:t>
      </w:r>
      <w:r>
        <w:rPr>
          <w:rFonts w:ascii="宋体" w:hAnsi="宋体" w:eastAsia="宋体" w:cs="宋体"/>
          <w:sz w:val="24"/>
          <w:szCs w:val="24"/>
        </w:rPr>
        <w:t>“</w:t>
      </w:r>
      <w:r>
        <w:rPr>
          <w:rFonts w:hint="eastAsia" w:ascii="宋体" w:hAnsi="宋体" w:eastAsia="宋体" w:cs="宋体"/>
          <w:sz w:val="24"/>
          <w:szCs w:val="24"/>
        </w:rPr>
        <w:t>污染物与废弃物</w:t>
      </w:r>
      <w:r>
        <w:rPr>
          <w:rFonts w:ascii="宋体" w:hAnsi="宋体" w:eastAsia="宋体" w:cs="宋体"/>
          <w:sz w:val="24"/>
          <w:szCs w:val="24"/>
        </w:rPr>
        <w:t>”议题</w:t>
      </w:r>
      <w:r>
        <w:rPr>
          <w:rFonts w:hint="eastAsia" w:ascii="宋体" w:hAnsi="宋体" w:cs="宋体"/>
          <w:sz w:val="24"/>
          <w:szCs w:val="24"/>
          <w:lang w:val="en-US" w:eastAsia="zh-CN"/>
        </w:rPr>
        <w:t>下设置“环境管理”</w:t>
      </w:r>
      <w:r>
        <w:rPr>
          <w:rFonts w:ascii="宋体" w:hAnsi="宋体" w:eastAsia="宋体" w:cs="宋体"/>
          <w:sz w:val="24"/>
          <w:szCs w:val="24"/>
        </w:rPr>
        <w:t>“</w:t>
      </w:r>
      <w:r>
        <w:rPr>
          <w:rFonts w:hint="eastAsia" w:ascii="宋体" w:hAnsi="宋体" w:eastAsia="宋体" w:cs="宋体"/>
          <w:sz w:val="24"/>
          <w:szCs w:val="24"/>
        </w:rPr>
        <w:t>大气污染物</w:t>
      </w:r>
      <w:r>
        <w:rPr>
          <w:rFonts w:ascii="宋体" w:hAnsi="宋体" w:eastAsia="宋体" w:cs="宋体"/>
          <w:sz w:val="24"/>
          <w:szCs w:val="24"/>
        </w:rPr>
        <w:t>”“</w:t>
      </w:r>
      <w:r>
        <w:rPr>
          <w:rFonts w:hint="eastAsia" w:ascii="宋体" w:hAnsi="宋体" w:cs="宋体"/>
          <w:sz w:val="24"/>
          <w:szCs w:val="24"/>
          <w:lang w:val="en-US" w:eastAsia="zh-CN"/>
        </w:rPr>
        <w:t>水体污染物</w:t>
      </w:r>
      <w:r>
        <w:rPr>
          <w:rFonts w:ascii="宋体" w:hAnsi="宋体" w:eastAsia="宋体" w:cs="宋体"/>
          <w:sz w:val="24"/>
          <w:szCs w:val="24"/>
        </w:rPr>
        <w:t>”</w:t>
      </w:r>
      <w:r>
        <w:rPr>
          <w:rFonts w:hint="eastAsia" w:ascii="宋体" w:hAnsi="宋体" w:cs="宋体"/>
          <w:sz w:val="24"/>
          <w:szCs w:val="24"/>
          <w:lang w:eastAsia="zh-CN"/>
        </w:rPr>
        <w:t>“</w:t>
      </w:r>
      <w:r>
        <w:rPr>
          <w:rFonts w:hint="eastAsia" w:ascii="宋体" w:hAnsi="宋体" w:cs="宋体"/>
          <w:sz w:val="24"/>
          <w:szCs w:val="24"/>
          <w:lang w:val="en-US" w:eastAsia="zh-CN"/>
        </w:rPr>
        <w:t>有毒有害物质使用</w:t>
      </w:r>
      <w:r>
        <w:rPr>
          <w:rFonts w:hint="eastAsia" w:ascii="宋体" w:hAnsi="宋体" w:cs="宋体"/>
          <w:sz w:val="24"/>
          <w:szCs w:val="24"/>
          <w:lang w:eastAsia="zh-CN"/>
        </w:rPr>
        <w:t>”“</w:t>
      </w:r>
      <w:r>
        <w:rPr>
          <w:rFonts w:hint="eastAsia" w:ascii="宋体" w:hAnsi="宋体" w:cs="宋体"/>
          <w:sz w:val="24"/>
          <w:szCs w:val="24"/>
          <w:lang w:val="en-US" w:eastAsia="zh-CN"/>
        </w:rPr>
        <w:t>固体废弃物”五个披露项。划分标准为环境管理体系认证取得情况及废弃物的类型。</w:t>
      </w:r>
    </w:p>
    <w:p>
      <w:pPr>
        <w:ind w:firstLine="482" w:firstLineChars="200"/>
        <w:rPr>
          <w:rFonts w:hint="default" w:ascii="宋体" w:hAnsi="宋体" w:cs="宋体"/>
          <w:sz w:val="24"/>
          <w:szCs w:val="24"/>
          <w:lang w:val="en-US" w:eastAsia="zh-CN"/>
        </w:rPr>
      </w:pPr>
      <w:r>
        <w:rPr>
          <w:rFonts w:hint="eastAsia" w:ascii="宋体" w:hAnsi="宋体" w:cs="宋体"/>
          <w:b/>
          <w:bCs/>
          <w:sz w:val="24"/>
          <w:szCs w:val="24"/>
          <w:lang w:val="en-US" w:eastAsia="zh-CN"/>
        </w:rPr>
        <w:t>环境管理：</w:t>
      </w:r>
      <w:r>
        <w:rPr>
          <w:rFonts w:hint="eastAsia" w:ascii="宋体" w:hAnsi="宋体" w:cs="宋体"/>
          <w:sz w:val="24"/>
          <w:szCs w:val="24"/>
          <w:lang w:val="en-US" w:eastAsia="zh-CN"/>
        </w:rPr>
        <w:t>企业环境管理体系认证取得情况、环境合规情况以及环境处罚情况。</w:t>
      </w:r>
    </w:p>
    <w:p>
      <w:pPr>
        <w:ind w:firstLine="420" w:firstLineChars="0"/>
        <w:rPr>
          <w:rFonts w:ascii="宋体" w:hAnsi="宋体" w:eastAsia="宋体" w:cs="宋体"/>
          <w:sz w:val="24"/>
          <w:szCs w:val="24"/>
        </w:rPr>
      </w:pPr>
      <w:r>
        <w:rPr>
          <w:rStyle w:val="26"/>
          <w:rFonts w:ascii="宋体" w:hAnsi="宋体" w:eastAsia="宋体" w:cs="宋体"/>
          <w:sz w:val="24"/>
          <w:szCs w:val="24"/>
        </w:rPr>
        <w:t>大气污染物</w:t>
      </w:r>
      <w:r>
        <w:rPr>
          <w:rFonts w:ascii="宋体" w:hAnsi="宋体" w:eastAsia="宋体" w:cs="宋体"/>
          <w:sz w:val="24"/>
          <w:szCs w:val="24"/>
        </w:rPr>
        <w:t>：</w:t>
      </w:r>
      <w:r>
        <w:rPr>
          <w:rFonts w:hint="eastAsia" w:ascii="宋体" w:hAnsi="宋体" w:cs="宋体"/>
          <w:sz w:val="24"/>
          <w:szCs w:val="24"/>
          <w:lang w:val="en-US" w:eastAsia="zh-CN"/>
        </w:rPr>
        <w:t>在</w:t>
      </w:r>
      <w:r>
        <w:rPr>
          <w:rFonts w:ascii="宋体" w:hAnsi="宋体" w:eastAsia="宋体" w:cs="宋体"/>
          <w:sz w:val="24"/>
          <w:szCs w:val="24"/>
        </w:rPr>
        <w:t>建筑材料</w:t>
      </w:r>
      <w:r>
        <w:rPr>
          <w:rFonts w:hint="eastAsia" w:ascii="宋体" w:hAnsi="宋体" w:cs="宋体"/>
          <w:sz w:val="24"/>
          <w:szCs w:val="24"/>
          <w:lang w:val="en-US" w:eastAsia="zh-CN"/>
        </w:rPr>
        <w:t>的</w:t>
      </w:r>
      <w:r>
        <w:rPr>
          <w:rFonts w:ascii="宋体" w:hAnsi="宋体" w:eastAsia="宋体" w:cs="宋体"/>
          <w:sz w:val="24"/>
          <w:szCs w:val="24"/>
        </w:rPr>
        <w:t>生产过程中，</w:t>
      </w:r>
      <w:r>
        <w:rPr>
          <w:rFonts w:hint="eastAsia" w:ascii="宋体" w:hAnsi="宋体" w:cs="宋体"/>
          <w:sz w:val="24"/>
          <w:szCs w:val="24"/>
          <w:lang w:val="en-US" w:eastAsia="zh-CN"/>
        </w:rPr>
        <w:t>例如</w:t>
      </w:r>
      <w:r>
        <w:rPr>
          <w:rFonts w:ascii="宋体" w:hAnsi="宋体" w:eastAsia="宋体" w:cs="宋体"/>
          <w:sz w:val="24"/>
          <w:szCs w:val="24"/>
        </w:rPr>
        <w:t>水泥生产，</w:t>
      </w:r>
      <w:r>
        <w:rPr>
          <w:rFonts w:hint="eastAsia" w:ascii="宋体" w:hAnsi="宋体" w:cs="宋体"/>
          <w:sz w:val="24"/>
          <w:szCs w:val="24"/>
          <w:lang w:val="en-US" w:eastAsia="zh-CN"/>
        </w:rPr>
        <w:t>可能</w:t>
      </w:r>
      <w:r>
        <w:rPr>
          <w:rFonts w:ascii="宋体" w:hAnsi="宋体" w:eastAsia="宋体" w:cs="宋体"/>
          <w:sz w:val="24"/>
          <w:szCs w:val="24"/>
        </w:rPr>
        <w:t>会产生有害气体。企业需要监控这些排放物的种类和数量，制定减排计划，并向公众和利益相关方披露相关信息。</w:t>
      </w:r>
    </w:p>
    <w:p>
      <w:pPr>
        <w:ind w:firstLine="420" w:firstLineChars="0"/>
        <w:rPr>
          <w:rFonts w:ascii="宋体" w:hAnsi="宋体" w:eastAsia="宋体" w:cs="宋体"/>
          <w:sz w:val="24"/>
          <w:szCs w:val="24"/>
        </w:rPr>
      </w:pPr>
      <w:r>
        <w:rPr>
          <w:rStyle w:val="26"/>
          <w:rFonts w:ascii="宋体" w:hAnsi="宋体" w:eastAsia="宋体" w:cs="宋体"/>
          <w:sz w:val="24"/>
          <w:szCs w:val="24"/>
        </w:rPr>
        <w:t>水体污染物</w:t>
      </w:r>
      <w:r>
        <w:rPr>
          <w:rFonts w:ascii="宋体" w:hAnsi="宋体" w:eastAsia="宋体" w:cs="宋体"/>
          <w:sz w:val="24"/>
          <w:szCs w:val="24"/>
        </w:rPr>
        <w:t>：</w:t>
      </w:r>
      <w:r>
        <w:rPr>
          <w:rFonts w:hint="eastAsia" w:ascii="宋体" w:hAnsi="宋体" w:cs="宋体"/>
          <w:sz w:val="24"/>
          <w:szCs w:val="24"/>
          <w:lang w:val="en-US" w:eastAsia="zh-CN"/>
        </w:rPr>
        <w:t>企业在</w:t>
      </w:r>
      <w:r>
        <w:rPr>
          <w:rFonts w:ascii="宋体" w:hAnsi="宋体" w:eastAsia="宋体" w:cs="宋体"/>
          <w:sz w:val="24"/>
          <w:szCs w:val="24"/>
        </w:rPr>
        <w:t>生产活动</w:t>
      </w:r>
      <w:r>
        <w:rPr>
          <w:rFonts w:hint="eastAsia" w:ascii="宋体" w:hAnsi="宋体" w:cs="宋体"/>
          <w:sz w:val="24"/>
          <w:szCs w:val="24"/>
          <w:lang w:val="en-US" w:eastAsia="zh-CN"/>
        </w:rPr>
        <w:t>中</w:t>
      </w:r>
      <w:r>
        <w:rPr>
          <w:rFonts w:ascii="宋体" w:hAnsi="宋体" w:eastAsia="宋体" w:cs="宋体"/>
          <w:sz w:val="24"/>
          <w:szCs w:val="24"/>
        </w:rPr>
        <w:t>往往需要大量用水，而</w:t>
      </w:r>
      <w:r>
        <w:rPr>
          <w:rFonts w:hint="eastAsia" w:ascii="宋体" w:hAnsi="宋体" w:cs="宋体"/>
          <w:sz w:val="24"/>
          <w:szCs w:val="24"/>
          <w:lang w:val="en-US" w:eastAsia="zh-CN"/>
        </w:rPr>
        <w:t>产生</w:t>
      </w:r>
      <w:r>
        <w:rPr>
          <w:rFonts w:ascii="宋体" w:hAnsi="宋体" w:eastAsia="宋体" w:cs="宋体"/>
          <w:sz w:val="24"/>
          <w:szCs w:val="24"/>
        </w:rPr>
        <w:t>的废水如果不经处理就排放，</w:t>
      </w:r>
      <w:r>
        <w:rPr>
          <w:rFonts w:hint="eastAsia" w:ascii="宋体" w:hAnsi="宋体" w:cs="宋体"/>
          <w:sz w:val="24"/>
          <w:szCs w:val="24"/>
          <w:lang w:val="en-US" w:eastAsia="zh-CN"/>
        </w:rPr>
        <w:t>就有可能</w:t>
      </w:r>
      <w:r>
        <w:rPr>
          <w:rFonts w:ascii="宋体" w:hAnsi="宋体" w:eastAsia="宋体" w:cs="宋体"/>
          <w:sz w:val="24"/>
          <w:szCs w:val="24"/>
        </w:rPr>
        <w:t>严重污染水资源。</w:t>
      </w:r>
      <w:r>
        <w:rPr>
          <w:rFonts w:hint="eastAsia" w:ascii="宋体" w:hAnsi="宋体" w:cs="宋体"/>
          <w:sz w:val="24"/>
          <w:szCs w:val="24"/>
          <w:lang w:val="en-US" w:eastAsia="zh-CN"/>
        </w:rPr>
        <w:t>因此，</w:t>
      </w:r>
      <w:r>
        <w:rPr>
          <w:rFonts w:ascii="宋体" w:hAnsi="宋体" w:eastAsia="宋体" w:cs="宋体"/>
          <w:sz w:val="24"/>
          <w:szCs w:val="24"/>
        </w:rPr>
        <w:t>企业需要实施严格的废水处理流程，并公开其处理标准和效果。</w:t>
      </w:r>
    </w:p>
    <w:p>
      <w:pPr>
        <w:ind w:firstLine="420" w:firstLineChars="0"/>
        <w:rPr>
          <w:rFonts w:ascii="宋体" w:hAnsi="宋体" w:eastAsia="宋体" w:cs="宋体"/>
          <w:sz w:val="24"/>
          <w:szCs w:val="24"/>
        </w:rPr>
      </w:pPr>
      <w:r>
        <w:rPr>
          <w:rStyle w:val="26"/>
          <w:rFonts w:ascii="宋体" w:hAnsi="宋体" w:eastAsia="宋体" w:cs="宋体"/>
          <w:sz w:val="24"/>
          <w:szCs w:val="24"/>
        </w:rPr>
        <w:t>有毒有害物质使用</w:t>
      </w:r>
      <w:r>
        <w:rPr>
          <w:rFonts w:ascii="宋体" w:hAnsi="宋体" w:eastAsia="宋体" w:cs="宋体"/>
          <w:sz w:val="24"/>
          <w:szCs w:val="24"/>
        </w:rPr>
        <w:t>：某些</w:t>
      </w:r>
      <w:r>
        <w:rPr>
          <w:rFonts w:hint="eastAsia" w:ascii="宋体" w:hAnsi="宋体" w:cs="宋体"/>
          <w:sz w:val="24"/>
          <w:szCs w:val="24"/>
          <w:lang w:val="en-US" w:eastAsia="zh-CN"/>
        </w:rPr>
        <w:t>特定</w:t>
      </w:r>
      <w:r>
        <w:rPr>
          <w:rFonts w:ascii="宋体" w:hAnsi="宋体" w:eastAsia="宋体" w:cs="宋体"/>
          <w:sz w:val="24"/>
          <w:szCs w:val="24"/>
        </w:rPr>
        <w:t>建筑材料的生产需要使用</w:t>
      </w:r>
      <w:r>
        <w:rPr>
          <w:rFonts w:hint="eastAsia" w:ascii="宋体" w:hAnsi="宋体" w:cs="宋体"/>
          <w:sz w:val="24"/>
          <w:szCs w:val="24"/>
          <w:lang w:val="en-US" w:eastAsia="zh-CN"/>
        </w:rPr>
        <w:t>有毒</w:t>
      </w:r>
      <w:r>
        <w:rPr>
          <w:rFonts w:ascii="宋体" w:hAnsi="宋体" w:eastAsia="宋体" w:cs="宋体"/>
          <w:sz w:val="24"/>
          <w:szCs w:val="24"/>
        </w:rPr>
        <w:t>有害的化学品。企业应</w:t>
      </w:r>
      <w:r>
        <w:rPr>
          <w:rFonts w:hint="eastAsia" w:ascii="宋体" w:hAnsi="宋体" w:cs="宋体"/>
          <w:sz w:val="24"/>
          <w:szCs w:val="24"/>
          <w:lang w:val="en-US" w:eastAsia="zh-CN"/>
        </w:rPr>
        <w:t>详细</w:t>
      </w:r>
      <w:r>
        <w:rPr>
          <w:rFonts w:ascii="宋体" w:hAnsi="宋体" w:eastAsia="宋体" w:cs="宋体"/>
          <w:sz w:val="24"/>
          <w:szCs w:val="24"/>
        </w:rPr>
        <w:t>披露这些物质的使用情况，以及如何储存、处理这些物质以减少对环境和人类健康的威胁。</w:t>
      </w:r>
    </w:p>
    <w:p>
      <w:pPr>
        <w:ind w:firstLine="420" w:firstLineChars="0"/>
        <w:rPr>
          <w:rFonts w:ascii="宋体" w:hAnsi="宋体" w:eastAsia="宋体" w:cs="宋体"/>
          <w:sz w:val="24"/>
          <w:szCs w:val="24"/>
        </w:rPr>
      </w:pPr>
      <w:r>
        <w:rPr>
          <w:rStyle w:val="26"/>
          <w:rFonts w:ascii="宋体" w:hAnsi="宋体" w:eastAsia="宋体" w:cs="宋体"/>
          <w:sz w:val="24"/>
          <w:szCs w:val="24"/>
        </w:rPr>
        <w:t>固体废弃物</w:t>
      </w:r>
      <w:r>
        <w:rPr>
          <w:rFonts w:ascii="宋体" w:hAnsi="宋体" w:eastAsia="宋体" w:cs="宋体"/>
          <w:sz w:val="24"/>
          <w:szCs w:val="24"/>
        </w:rPr>
        <w:t>：建筑材料</w:t>
      </w:r>
      <w:r>
        <w:rPr>
          <w:rFonts w:hint="eastAsia" w:ascii="宋体" w:hAnsi="宋体" w:cs="宋体"/>
          <w:sz w:val="24"/>
          <w:szCs w:val="24"/>
          <w:lang w:val="en-US" w:eastAsia="zh-CN"/>
        </w:rPr>
        <w:t>得到</w:t>
      </w:r>
      <w:r>
        <w:rPr>
          <w:rFonts w:ascii="宋体" w:hAnsi="宋体" w:eastAsia="宋体" w:cs="宋体"/>
          <w:sz w:val="24"/>
          <w:szCs w:val="24"/>
        </w:rPr>
        <w:t>生产</w:t>
      </w:r>
      <w:r>
        <w:rPr>
          <w:rFonts w:hint="eastAsia" w:ascii="宋体" w:hAnsi="宋体" w:cs="宋体"/>
          <w:sz w:val="24"/>
          <w:szCs w:val="24"/>
          <w:lang w:val="en-US" w:eastAsia="zh-CN"/>
        </w:rPr>
        <w:t>可能</w:t>
      </w:r>
      <w:r>
        <w:rPr>
          <w:rFonts w:ascii="宋体" w:hAnsi="宋体" w:eastAsia="宋体" w:cs="宋体"/>
          <w:sz w:val="24"/>
          <w:szCs w:val="24"/>
        </w:rPr>
        <w:t>会产生大量固体废物，包括生产残渣、废旧设备等。企业应采取措施减少</w:t>
      </w:r>
      <w:r>
        <w:rPr>
          <w:rFonts w:hint="eastAsia" w:ascii="宋体" w:hAnsi="宋体" w:cs="宋体"/>
          <w:sz w:val="24"/>
          <w:szCs w:val="24"/>
          <w:lang w:val="en-US" w:eastAsia="zh-CN"/>
        </w:rPr>
        <w:t>废弃物</w:t>
      </w:r>
      <w:r>
        <w:rPr>
          <w:rFonts w:ascii="宋体" w:hAnsi="宋体" w:eastAsia="宋体" w:cs="宋体"/>
          <w:sz w:val="24"/>
          <w:szCs w:val="24"/>
        </w:rPr>
        <w:t>产生，</w:t>
      </w:r>
      <w:r>
        <w:rPr>
          <w:rFonts w:hint="eastAsia" w:ascii="宋体" w:hAnsi="宋体" w:cs="宋体"/>
          <w:sz w:val="24"/>
          <w:szCs w:val="24"/>
          <w:lang w:val="en-US" w:eastAsia="zh-CN"/>
        </w:rPr>
        <w:t>并</w:t>
      </w:r>
      <w:r>
        <w:rPr>
          <w:rFonts w:ascii="宋体" w:hAnsi="宋体" w:eastAsia="宋体" w:cs="宋体"/>
          <w:sz w:val="24"/>
          <w:szCs w:val="24"/>
        </w:rPr>
        <w:t>实施回收利用计划，</w:t>
      </w:r>
      <w:r>
        <w:rPr>
          <w:rFonts w:hint="eastAsia" w:ascii="宋体" w:hAnsi="宋体" w:cs="宋体"/>
          <w:sz w:val="24"/>
          <w:szCs w:val="24"/>
          <w:lang w:val="en-US" w:eastAsia="zh-CN"/>
        </w:rPr>
        <w:t>妥善处理好已经产生的废弃物，</w:t>
      </w:r>
      <w:r>
        <w:rPr>
          <w:rFonts w:ascii="宋体" w:hAnsi="宋体" w:eastAsia="宋体" w:cs="宋体"/>
          <w:sz w:val="24"/>
          <w:szCs w:val="24"/>
        </w:rPr>
        <w:t>并向外界披露其</w:t>
      </w:r>
      <w:r>
        <w:rPr>
          <w:rFonts w:hint="eastAsia" w:ascii="宋体" w:hAnsi="宋体" w:cs="宋体"/>
          <w:sz w:val="24"/>
          <w:szCs w:val="24"/>
          <w:lang w:val="en-US" w:eastAsia="zh-CN"/>
        </w:rPr>
        <w:t>废弃物</w:t>
      </w:r>
      <w:r>
        <w:rPr>
          <w:rFonts w:ascii="宋体" w:hAnsi="宋体" w:eastAsia="宋体" w:cs="宋体"/>
          <w:sz w:val="24"/>
          <w:szCs w:val="24"/>
        </w:rPr>
        <w:t>管理策略和执行情况。</w:t>
      </w:r>
    </w:p>
    <w:p>
      <w:pPr>
        <w:ind w:firstLine="480" w:firstLineChars="200"/>
        <w:rPr>
          <w:rFonts w:ascii="宋体" w:hAnsi="宋体" w:eastAsia="宋体" w:cs="宋体"/>
          <w:sz w:val="24"/>
          <w:szCs w:val="24"/>
        </w:rPr>
      </w:pPr>
      <w:r>
        <w:rPr>
          <w:rFonts w:ascii="宋体" w:hAnsi="宋体" w:eastAsia="宋体" w:cs="宋体"/>
          <w:sz w:val="24"/>
          <w:szCs w:val="24"/>
        </w:rPr>
        <w:t>针对污染物与废弃物的信息披露，是建筑材料行业企业展现其可持续发展承诺的重要方式。这不仅关乎</w:t>
      </w:r>
      <w:r>
        <w:rPr>
          <w:rFonts w:hint="eastAsia" w:ascii="宋体" w:hAnsi="宋体" w:cs="宋体"/>
          <w:sz w:val="24"/>
          <w:szCs w:val="24"/>
          <w:lang w:val="en-US" w:eastAsia="zh-CN"/>
        </w:rPr>
        <w:t>到</w:t>
      </w:r>
      <w:r>
        <w:rPr>
          <w:rFonts w:ascii="宋体" w:hAnsi="宋体" w:eastAsia="宋体" w:cs="宋体"/>
          <w:sz w:val="24"/>
          <w:szCs w:val="24"/>
        </w:rPr>
        <w:t>企业</w:t>
      </w:r>
      <w:r>
        <w:rPr>
          <w:rFonts w:hint="eastAsia" w:ascii="宋体" w:hAnsi="宋体" w:cs="宋体"/>
          <w:sz w:val="24"/>
          <w:szCs w:val="24"/>
          <w:lang w:val="en-US" w:eastAsia="zh-CN"/>
        </w:rPr>
        <w:t>是否履行其</w:t>
      </w:r>
      <w:r>
        <w:rPr>
          <w:rFonts w:ascii="宋体" w:hAnsi="宋体" w:eastAsia="宋体" w:cs="宋体"/>
          <w:sz w:val="24"/>
          <w:szCs w:val="24"/>
        </w:rPr>
        <w:t>社会责任，也直接影响到企业的长期竞争力和行业地位。通过有效的信息披露，企业可以在环保、社会责任和公司治理方面取得平衡，实现可持续发展目标。</w:t>
      </w:r>
    </w:p>
    <w:p>
      <w:pPr>
        <w:pStyle w:val="5"/>
        <w:rPr>
          <w:rFonts w:hint="eastAsia"/>
          <w:lang w:val="en-US" w:eastAsia="zh-CN"/>
        </w:rPr>
      </w:pPr>
      <w:r>
        <w:rPr>
          <w:rFonts w:hint="eastAsia"/>
          <w:lang w:val="en-US" w:eastAsia="zh-CN"/>
        </w:rPr>
        <w:t>2.7.2.2 指标的选取</w:t>
      </w:r>
    </w:p>
    <w:p>
      <w:pPr>
        <w:spacing w:line="360" w:lineRule="auto"/>
        <w:ind w:firstLine="480"/>
        <w:rPr>
          <w:rFonts w:hint="default"/>
          <w:b/>
          <w:bCs/>
          <w:highlight w:val="yellow"/>
          <w:lang w:val="en-US" w:eastAsia="zh-CN"/>
        </w:rPr>
      </w:pPr>
      <w:r>
        <w:rPr>
          <w:rFonts w:hint="eastAsia" w:cs="Times New Roman"/>
          <w:sz w:val="24"/>
          <w:szCs w:val="24"/>
          <w:lang w:val="en-US" w:eastAsia="zh-CN"/>
        </w:rPr>
        <w:t>将本文件议题下的专题披露项（即标题所指的指标）对照IFRS、ESRS、国证ESG、GRI、港交所的ESG信息披露框架，旨在说明该指标的主流披露框架覆盖率、适用性以及其科学合理性。</w:t>
      </w:r>
    </w:p>
    <w:tbl>
      <w:tblPr>
        <w:tblStyle w:val="24"/>
        <w:tblW w:w="8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5"/>
        <w:gridCol w:w="795"/>
        <w:gridCol w:w="1765"/>
        <w:gridCol w:w="1674"/>
        <w:gridCol w:w="1710"/>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115" w:type="dxa"/>
          </w:tcPr>
          <w:p>
            <w:pPr>
              <w:spacing w:line="240" w:lineRule="auto"/>
              <w:jc w:val="center"/>
              <w:rPr>
                <w:rFonts w:hint="default" w:ascii="Times New Roman" w:hAnsi="Times New Roman" w:eastAsia="宋体"/>
                <w:b w:val="0"/>
                <w:bCs w:val="0"/>
                <w:sz w:val="18"/>
                <w:szCs w:val="18"/>
                <w:lang w:val="en-US" w:eastAsia="zh-CN"/>
              </w:rPr>
            </w:pPr>
          </w:p>
        </w:tc>
        <w:tc>
          <w:tcPr>
            <w:tcW w:w="795" w:type="dxa"/>
          </w:tcPr>
          <w:p>
            <w:pPr>
              <w:spacing w:line="240" w:lineRule="auto"/>
              <w:jc w:val="center"/>
              <w:rPr>
                <w:rFonts w:hint="default" w:ascii="Times New Roman" w:hAnsi="Times New Roman" w:eastAsia="宋体"/>
                <w:b w:val="0"/>
                <w:bCs w:val="0"/>
                <w:sz w:val="18"/>
                <w:szCs w:val="18"/>
                <w:lang w:val="en-US" w:eastAsia="zh-CN"/>
              </w:rPr>
            </w:pPr>
            <w:r>
              <w:rPr>
                <w:rFonts w:hint="default" w:ascii="Times New Roman" w:hAnsi="Times New Roman" w:eastAsia="宋体"/>
                <w:b w:val="0"/>
                <w:bCs w:val="0"/>
                <w:sz w:val="18"/>
                <w:szCs w:val="18"/>
                <w:lang w:val="en-US" w:eastAsia="zh-CN"/>
              </w:rPr>
              <w:t>IFRS</w:t>
            </w:r>
          </w:p>
        </w:tc>
        <w:tc>
          <w:tcPr>
            <w:tcW w:w="176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ESRS</w:t>
            </w:r>
          </w:p>
        </w:tc>
        <w:tc>
          <w:tcPr>
            <w:tcW w:w="167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国证ESG</w:t>
            </w:r>
          </w:p>
        </w:tc>
        <w:tc>
          <w:tcPr>
            <w:tcW w:w="171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w:t>
            </w:r>
          </w:p>
        </w:tc>
        <w:tc>
          <w:tcPr>
            <w:tcW w:w="171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港交所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11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大气污染物</w:t>
            </w:r>
          </w:p>
        </w:tc>
        <w:tc>
          <w:tcPr>
            <w:tcW w:w="795" w:type="dxa"/>
          </w:tcPr>
          <w:p>
            <w:pPr>
              <w:spacing w:line="240" w:lineRule="auto"/>
              <w:jc w:val="center"/>
              <w:rPr>
                <w:rFonts w:hint="default" w:ascii="Times New Roman" w:hAnsi="Times New Roman" w:eastAsia="宋体"/>
                <w:b w:val="0"/>
                <w:bCs w:val="0"/>
                <w:sz w:val="18"/>
                <w:szCs w:val="18"/>
                <w:lang w:val="en-US" w:eastAsia="zh-CN"/>
              </w:rPr>
            </w:pPr>
          </w:p>
        </w:tc>
        <w:tc>
          <w:tcPr>
            <w:tcW w:w="176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披露要求E2 污染</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4 与空气、水和土壤有关的污染</w:t>
            </w:r>
          </w:p>
        </w:tc>
        <w:tc>
          <w:tcPr>
            <w:tcW w:w="167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污废管理-污染物</w:t>
            </w:r>
          </w:p>
        </w:tc>
        <w:tc>
          <w:tcPr>
            <w:tcW w:w="171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305 排放</w:t>
            </w:r>
          </w:p>
        </w:tc>
        <w:tc>
          <w:tcPr>
            <w:tcW w:w="171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环境保护-排放物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11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水体污染物</w:t>
            </w:r>
          </w:p>
        </w:tc>
        <w:tc>
          <w:tcPr>
            <w:tcW w:w="795" w:type="dxa"/>
          </w:tcPr>
          <w:p>
            <w:pPr>
              <w:spacing w:line="240" w:lineRule="auto"/>
              <w:jc w:val="center"/>
              <w:rPr>
                <w:rFonts w:hint="default" w:ascii="Times New Roman" w:hAnsi="Times New Roman" w:eastAsia="宋体"/>
                <w:b w:val="0"/>
                <w:bCs w:val="0"/>
                <w:sz w:val="18"/>
                <w:szCs w:val="18"/>
                <w:lang w:val="en-US" w:eastAsia="zh-CN"/>
              </w:rPr>
            </w:pPr>
          </w:p>
        </w:tc>
        <w:tc>
          <w:tcPr>
            <w:tcW w:w="176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披露要求E2 污染</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4 与空气、水和土壤有关的污染</w:t>
            </w:r>
          </w:p>
        </w:tc>
        <w:tc>
          <w:tcPr>
            <w:tcW w:w="167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污废管理-污染物</w:t>
            </w:r>
          </w:p>
        </w:tc>
        <w:tc>
          <w:tcPr>
            <w:tcW w:w="171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303 水资源与污水</w:t>
            </w:r>
          </w:p>
        </w:tc>
        <w:tc>
          <w:tcPr>
            <w:tcW w:w="171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环境保护-排放物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11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有毒有害物质使用</w:t>
            </w:r>
          </w:p>
        </w:tc>
        <w:tc>
          <w:tcPr>
            <w:tcW w:w="795" w:type="dxa"/>
          </w:tcPr>
          <w:p>
            <w:pPr>
              <w:spacing w:line="240" w:lineRule="auto"/>
              <w:jc w:val="center"/>
              <w:rPr>
                <w:rFonts w:hint="default" w:ascii="Times New Roman" w:hAnsi="Times New Roman" w:eastAsia="宋体"/>
                <w:b w:val="0"/>
                <w:bCs w:val="0"/>
                <w:sz w:val="18"/>
                <w:szCs w:val="18"/>
                <w:lang w:val="en-US" w:eastAsia="zh-CN"/>
              </w:rPr>
            </w:pPr>
          </w:p>
        </w:tc>
        <w:tc>
          <w:tcPr>
            <w:tcW w:w="176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披露要求E2 污染</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5 关注与非常关注的物质</w:t>
            </w:r>
          </w:p>
        </w:tc>
        <w:tc>
          <w:tcPr>
            <w:tcW w:w="167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c>
          <w:tcPr>
            <w:tcW w:w="171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306 废弃物</w:t>
            </w:r>
          </w:p>
        </w:tc>
        <w:tc>
          <w:tcPr>
            <w:tcW w:w="171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环境保护-排放物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11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固体废弃物</w:t>
            </w:r>
          </w:p>
        </w:tc>
        <w:tc>
          <w:tcPr>
            <w:tcW w:w="795" w:type="dxa"/>
          </w:tcPr>
          <w:p>
            <w:pPr>
              <w:spacing w:line="240" w:lineRule="auto"/>
              <w:jc w:val="center"/>
              <w:rPr>
                <w:rFonts w:hint="default" w:ascii="Times New Roman" w:hAnsi="Times New Roman" w:eastAsia="宋体"/>
                <w:b w:val="0"/>
                <w:bCs w:val="0"/>
                <w:sz w:val="18"/>
                <w:szCs w:val="18"/>
                <w:lang w:val="en-US" w:eastAsia="zh-CN"/>
              </w:rPr>
            </w:pPr>
          </w:p>
        </w:tc>
        <w:tc>
          <w:tcPr>
            <w:tcW w:w="176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披露要求E2 污染</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4 与空气、水和土壤有关的污染</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5 关注与非常关注的物质</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 E5 资源使用与循环经济</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5 资源流出</w:t>
            </w:r>
          </w:p>
        </w:tc>
        <w:tc>
          <w:tcPr>
            <w:tcW w:w="167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污废管理-废弃物</w:t>
            </w:r>
          </w:p>
        </w:tc>
        <w:tc>
          <w:tcPr>
            <w:tcW w:w="171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306 废弃物</w:t>
            </w:r>
          </w:p>
        </w:tc>
        <w:tc>
          <w:tcPr>
            <w:tcW w:w="171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环境保护-排放物</w:t>
            </w:r>
          </w:p>
        </w:tc>
      </w:tr>
    </w:tbl>
    <w:p>
      <w:pPr>
        <w:pStyle w:val="5"/>
        <w:rPr>
          <w:rFonts w:hint="default"/>
          <w:lang w:val="en-US" w:eastAsia="zh-CN"/>
        </w:rPr>
      </w:pPr>
      <w:r>
        <w:rPr>
          <w:rFonts w:hint="eastAsia"/>
          <w:lang w:val="en-US" w:eastAsia="zh-CN"/>
        </w:rPr>
        <w:t>2.7.2.3 战略、目标与举措</w:t>
      </w:r>
    </w:p>
    <w:p>
      <w:pPr>
        <w:ind w:firstLine="420" w:firstLineChars="0"/>
        <w:rPr>
          <w:rFonts w:hint="default"/>
          <w:b/>
          <w:bCs/>
          <w:highlight w:val="yellow"/>
          <w:lang w:val="en-US" w:eastAsia="zh-CN"/>
        </w:rPr>
      </w:pPr>
      <w:r>
        <w:rPr>
          <w:rFonts w:hint="eastAsia" w:cs="Times New Roman"/>
          <w:sz w:val="24"/>
          <w:szCs w:val="24"/>
          <w:lang w:val="en-US" w:eastAsia="zh-CN"/>
        </w:rPr>
        <w:t>具体到污染物与废弃物议题。就企业自身业态而言，由于建筑材料行业产业链完善，窑炉煅烧等生产技术成熟，单位能耗、污染物排放达到国际先进水平，但也确实存在</w:t>
      </w:r>
      <w:r>
        <w:rPr>
          <w:rFonts w:hint="eastAsia"/>
          <w:lang w:val="en-US" w:eastAsia="zh-CN"/>
        </w:rPr>
        <w:t>产业规模大、过程排放高、能源结构偏煤，存在排放总量大、发展良莠不齐等情况。就外部环境变化而言，若污染物与废弃物未得到妥善管理，将对环境和人类健康产生严重负面影响。这些影响往往会波及到产生和丢弃废弃物之外的地方。如果焚烧或填埋废弃物，将无法再使用其中的资源和材料，加速资源的消耗。因而对于企业来说，应根据企业自身状况，选择ST战略或WT战略。企业需识别预防污染物与废弃物产生和采取循环措施的机遇，避免先产生废弃物再减轻或消除负面影响，逐步将废弃物作为资源加以管理。</w:t>
      </w:r>
    </w:p>
    <w:p>
      <w:pPr>
        <w:pStyle w:val="5"/>
        <w:rPr>
          <w:rFonts w:hint="eastAsia"/>
          <w:lang w:val="en-US" w:eastAsia="zh-CN"/>
        </w:rPr>
      </w:pPr>
      <w:r>
        <w:rPr>
          <w:rFonts w:hint="eastAsia"/>
          <w:lang w:val="en-US" w:eastAsia="zh-CN"/>
        </w:rPr>
        <w:t>2.7.2.4 特定行业指南</w:t>
      </w:r>
    </w:p>
    <w:p>
      <w:pPr>
        <w:ind w:firstLine="420" w:firstLineChars="0"/>
        <w:rPr>
          <w:rFonts w:hint="default"/>
          <w:b/>
          <w:bCs/>
          <w:highlight w:val="none"/>
          <w:lang w:val="en-US" w:eastAsia="zh-CN"/>
        </w:rPr>
      </w:pPr>
      <w:r>
        <w:rPr>
          <w:rFonts w:hint="eastAsia" w:cs="Times New Roman"/>
          <w:sz w:val="24"/>
          <w:szCs w:val="24"/>
          <w:lang w:val="en-US" w:eastAsia="zh-CN"/>
        </w:rPr>
        <w:t>建筑部品产品行业必须报告价值链上游实体获得的输入，以及提供给价值链下游的输出。例如，如果企业向供应商采购具有有害特性的成分并用于其产品，该产品将继续携带此等成分及其有害特性，则企业必须将这些导致或可能导致废弃物相关重大影响的成分作为输入来报告。类似地，如果企业向消费者出售的产品会产生大量包装废弃物，必须将这种导致或可能导致废弃物相关重大影响的包装作为输出来报告。</w:t>
      </w:r>
    </w:p>
    <w:p>
      <w:pPr>
        <w:widowControl w:val="0"/>
        <w:numPr>
          <w:ilvl w:val="0"/>
          <w:numId w:val="0"/>
        </w:numPr>
        <w:spacing w:line="360" w:lineRule="auto"/>
        <w:jc w:val="center"/>
        <w:rPr>
          <w:rFonts w:hint="default"/>
          <w:highlight w:val="none"/>
          <w:lang w:val="en-US" w:eastAsia="zh-CN"/>
        </w:rPr>
      </w:pPr>
      <w:r>
        <w:rPr>
          <w:rFonts w:hint="eastAsia" w:ascii="黑体" w:hAnsi="黑体" w:eastAsia="黑体" w:cs="黑体"/>
          <w:sz w:val="21"/>
          <w:szCs w:val="21"/>
          <w:lang w:val="en-US" w:eastAsia="zh-CN"/>
        </w:rPr>
        <w:t>表4 特定行业污染物与废弃物信息披露与评级指标要求</w:t>
      </w:r>
    </w:p>
    <w:tbl>
      <w:tblPr>
        <w:tblStyle w:val="24"/>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2186"/>
        <w:gridCol w:w="2477"/>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87" w:type="dxa"/>
          </w:tcPr>
          <w:p>
            <w:pPr>
              <w:spacing w:line="240" w:lineRule="auto"/>
              <w:jc w:val="center"/>
              <w:rPr>
                <w:rFonts w:hint="default" w:ascii="Times New Roman" w:hAnsi="Times New Roman" w:eastAsia="宋体"/>
                <w:b w:val="0"/>
                <w:bCs w:val="0"/>
                <w:sz w:val="18"/>
                <w:szCs w:val="18"/>
                <w:lang w:val="en-US" w:eastAsia="zh-CN"/>
              </w:rPr>
            </w:pPr>
          </w:p>
        </w:tc>
        <w:tc>
          <w:tcPr>
            <w:tcW w:w="218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披露框架</w:t>
            </w:r>
          </w:p>
        </w:tc>
        <w:tc>
          <w:tcPr>
            <w:tcW w:w="4727" w:type="dxa"/>
            <w:gridSpan w:val="2"/>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评级框架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687" w:type="dxa"/>
          </w:tcPr>
          <w:p>
            <w:pPr>
              <w:spacing w:line="240" w:lineRule="auto"/>
              <w:jc w:val="center"/>
              <w:rPr>
                <w:rFonts w:hint="default" w:ascii="Times New Roman" w:hAnsi="Times New Roman" w:eastAsia="宋体"/>
                <w:b w:val="0"/>
                <w:bCs w:val="0"/>
                <w:sz w:val="18"/>
                <w:szCs w:val="18"/>
                <w:lang w:val="en-US" w:eastAsia="zh-CN"/>
              </w:rPr>
            </w:pPr>
          </w:p>
        </w:tc>
        <w:tc>
          <w:tcPr>
            <w:tcW w:w="218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IFRS</w:t>
            </w:r>
          </w:p>
        </w:tc>
        <w:tc>
          <w:tcPr>
            <w:tcW w:w="247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MSCI</w:t>
            </w:r>
          </w:p>
        </w:tc>
        <w:tc>
          <w:tcPr>
            <w:tcW w:w="225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CSA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6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建筑原材料</w:t>
            </w:r>
          </w:p>
        </w:tc>
        <w:tc>
          <w:tcPr>
            <w:tcW w:w="2186"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空气质量</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水管理</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废物管理</w:t>
            </w:r>
          </w:p>
        </w:tc>
        <w:tc>
          <w:tcPr>
            <w:tcW w:w="247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有毒物质排放&amp;废弃物</w:t>
            </w:r>
          </w:p>
        </w:tc>
        <w:tc>
          <w:tcPr>
            <w:tcW w:w="225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水相关风险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6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建筑部品产品</w:t>
            </w:r>
          </w:p>
        </w:tc>
        <w:tc>
          <w:tcPr>
            <w:tcW w:w="218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产品生命周期环境影响</w:t>
            </w:r>
          </w:p>
        </w:tc>
        <w:tc>
          <w:tcPr>
            <w:tcW w:w="2477"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有毒物质排放&amp;废弃物</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清洁能源使用机遇</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电子废弃物</w:t>
            </w:r>
          </w:p>
        </w:tc>
        <w:tc>
          <w:tcPr>
            <w:tcW w:w="225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水相关风险</w:t>
            </w:r>
          </w:p>
        </w:tc>
      </w:tr>
    </w:tbl>
    <w:p>
      <w:pPr>
        <w:pStyle w:val="4"/>
        <w:rPr>
          <w:rFonts w:hint="default" w:ascii="Times New Roman" w:hAnsi="Times New Roman"/>
          <w:lang w:val="en-US" w:eastAsia="zh-CN"/>
        </w:rPr>
      </w:pPr>
      <w:r>
        <w:rPr>
          <w:rFonts w:hint="default" w:ascii="Times New Roman" w:hAnsi="Times New Roman"/>
          <w:lang w:eastAsia="zh-CN"/>
        </w:rPr>
        <w:t>2</w:t>
      </w:r>
      <w:r>
        <w:rPr>
          <w:rFonts w:hint="eastAsia" w:ascii="Times New Roman" w:hAnsi="Times New Roman"/>
          <w:lang w:val="en-US" w:eastAsia="zh-Hans"/>
        </w:rPr>
        <w:t>.</w:t>
      </w:r>
      <w:r>
        <w:rPr>
          <w:rFonts w:hint="eastAsia" w:ascii="Times New Roman" w:hAnsi="Times New Roman"/>
          <w:lang w:val="en-US" w:eastAsia="zh-CN"/>
        </w:rPr>
        <w:t>7.3</w:t>
      </w:r>
      <w:r>
        <w:rPr>
          <w:rFonts w:hint="default" w:ascii="Times New Roman" w:hAnsi="Times New Roman"/>
          <w:lang w:val="en-US" w:eastAsia="zh-CN"/>
        </w:rPr>
        <w:t xml:space="preserve"> </w:t>
      </w:r>
      <w:r>
        <w:rPr>
          <w:rFonts w:hint="eastAsia" w:ascii="Times New Roman" w:hAnsi="Times New Roman"/>
          <w:lang w:val="en-US" w:eastAsia="zh-CN"/>
        </w:rPr>
        <w:t>资源</w:t>
      </w:r>
    </w:p>
    <w:p>
      <w:pPr>
        <w:pStyle w:val="5"/>
        <w:rPr>
          <w:rFonts w:hint="eastAsia"/>
          <w:lang w:val="en-US" w:eastAsia="zh-CN"/>
        </w:rPr>
      </w:pPr>
      <w:r>
        <w:rPr>
          <w:rFonts w:hint="eastAsia"/>
          <w:lang w:val="en-US" w:eastAsia="zh-CN"/>
        </w:rPr>
        <w:t>2.7.3.1 披露项的设置</w:t>
      </w:r>
    </w:p>
    <w:p>
      <w:pPr>
        <w:ind w:firstLine="420" w:firstLineChars="0"/>
        <w:rPr>
          <w:rFonts w:hint="eastAsia" w:cs="Times New Roman"/>
          <w:sz w:val="24"/>
          <w:szCs w:val="24"/>
          <w:lang w:val="en-US" w:eastAsia="zh-CN"/>
        </w:rPr>
      </w:pPr>
      <w:r>
        <w:rPr>
          <w:rFonts w:hint="eastAsia" w:cs="Times New Roman"/>
          <w:sz w:val="24"/>
          <w:szCs w:val="24"/>
          <w:lang w:val="en-US" w:eastAsia="zh-CN"/>
        </w:rPr>
        <w:t>可持续需发展的环境维度关系到企业对生物和非生物自然系统的影响，包括土地、空气、林木、水和生态系统。对于建筑材料行业来说，企业的生产活动与各种自然资源的消耗密切相关。大部分建材产品生产依赖非金属矿物等不可再生资源的获取，同时，水泥等依靠碳酸盐类原料生产的产品，其资源消耗对于应对气候变化有重要影响。随着建材行业生产工艺技术的不断发展，很多建材产品生产过程可以不同程度工业副产品及废弃物、建筑废弃物及生活垃圾、矿山尾矿废渣等二次资源，如水泥行业利用水泥窑协同处置固体废物。企业宜着眼于长远的可持续性要求，负责任的使用不可再生资源，综合利用不可再生资源和可持续资源，或以可持续资源替代不可再生资源。在ESG（环境、社会和治理）信息披露中，"资源"议题是一个关键领域，因为它直接关系到企业的可持续运营能力和对环境的长期影响。</w:t>
      </w:r>
    </w:p>
    <w:p>
      <w:pPr>
        <w:ind w:firstLine="480" w:firstLineChars="200"/>
        <w:rPr>
          <w:rFonts w:hint="default" w:ascii="宋体" w:hAnsi="宋体" w:eastAsia="宋体" w:cs="宋体"/>
          <w:sz w:val="24"/>
          <w:szCs w:val="24"/>
          <w:lang w:val="en-US" w:eastAsia="zh-CN"/>
        </w:rPr>
      </w:pPr>
      <w:r>
        <w:rPr>
          <w:rFonts w:hint="eastAsia" w:ascii="宋体" w:hAnsi="宋体" w:cs="宋体"/>
          <w:sz w:val="24"/>
          <w:szCs w:val="24"/>
          <w:lang w:val="en-US" w:eastAsia="zh-CN"/>
        </w:rPr>
        <w:t>在</w:t>
      </w:r>
      <w:r>
        <w:rPr>
          <w:rFonts w:ascii="宋体" w:hAnsi="宋体" w:eastAsia="宋体" w:cs="宋体"/>
          <w:sz w:val="24"/>
          <w:szCs w:val="24"/>
        </w:rPr>
        <w:t>“</w:t>
      </w:r>
      <w:r>
        <w:rPr>
          <w:rFonts w:hint="eastAsia" w:ascii="宋体" w:hAnsi="宋体" w:cs="宋体"/>
          <w:sz w:val="24"/>
          <w:szCs w:val="24"/>
          <w:lang w:val="en-US" w:eastAsia="zh-CN"/>
        </w:rPr>
        <w:t>资源</w:t>
      </w:r>
      <w:r>
        <w:rPr>
          <w:rFonts w:ascii="宋体" w:hAnsi="宋体" w:eastAsia="宋体" w:cs="宋体"/>
          <w:sz w:val="24"/>
          <w:szCs w:val="24"/>
        </w:rPr>
        <w:t>”议题</w:t>
      </w:r>
      <w:r>
        <w:rPr>
          <w:rFonts w:hint="eastAsia" w:ascii="宋体" w:hAnsi="宋体" w:cs="宋体"/>
          <w:sz w:val="24"/>
          <w:szCs w:val="24"/>
          <w:lang w:val="en-US" w:eastAsia="zh-CN"/>
        </w:rPr>
        <w:t>下设置</w:t>
      </w:r>
      <w:r>
        <w:rPr>
          <w:rFonts w:ascii="宋体" w:hAnsi="宋体" w:eastAsia="宋体" w:cs="宋体"/>
          <w:sz w:val="24"/>
          <w:szCs w:val="24"/>
        </w:rPr>
        <w:t>“</w:t>
      </w:r>
      <w:r>
        <w:rPr>
          <w:rFonts w:hint="eastAsia" w:ascii="宋体" w:hAnsi="宋体" w:cs="宋体"/>
          <w:sz w:val="24"/>
          <w:szCs w:val="24"/>
          <w:lang w:val="en-US" w:eastAsia="zh-CN"/>
        </w:rPr>
        <w:t>矿产资源</w:t>
      </w:r>
      <w:r>
        <w:rPr>
          <w:rFonts w:ascii="宋体" w:hAnsi="宋体" w:eastAsia="宋体" w:cs="宋体"/>
          <w:sz w:val="24"/>
          <w:szCs w:val="24"/>
        </w:rPr>
        <w:t>”“</w:t>
      </w:r>
      <w:r>
        <w:rPr>
          <w:rFonts w:hint="eastAsia" w:ascii="宋体" w:hAnsi="宋体" w:cs="宋体"/>
          <w:sz w:val="24"/>
          <w:szCs w:val="24"/>
          <w:lang w:val="en-US" w:eastAsia="zh-CN"/>
        </w:rPr>
        <w:t>林木资源</w:t>
      </w:r>
      <w:r>
        <w:rPr>
          <w:rFonts w:ascii="宋体" w:hAnsi="宋体" w:eastAsia="宋体" w:cs="宋体"/>
          <w:sz w:val="24"/>
          <w:szCs w:val="24"/>
        </w:rPr>
        <w:t>”</w:t>
      </w:r>
      <w:r>
        <w:rPr>
          <w:rFonts w:hint="eastAsia" w:ascii="宋体" w:hAnsi="宋体" w:cs="宋体"/>
          <w:sz w:val="24"/>
          <w:szCs w:val="24"/>
          <w:lang w:eastAsia="zh-CN"/>
        </w:rPr>
        <w:t>“</w:t>
      </w:r>
      <w:r>
        <w:rPr>
          <w:rFonts w:hint="eastAsia" w:ascii="宋体" w:hAnsi="宋体" w:cs="宋体"/>
          <w:sz w:val="24"/>
          <w:szCs w:val="24"/>
          <w:lang w:val="en-US" w:eastAsia="zh-CN"/>
        </w:rPr>
        <w:t>水资源</w:t>
      </w:r>
      <w:r>
        <w:rPr>
          <w:rFonts w:hint="eastAsia" w:ascii="宋体" w:hAnsi="宋体" w:cs="宋体"/>
          <w:sz w:val="24"/>
          <w:szCs w:val="24"/>
          <w:lang w:eastAsia="zh-CN"/>
        </w:rPr>
        <w:t>”</w:t>
      </w:r>
      <w:r>
        <w:rPr>
          <w:rFonts w:hint="eastAsia" w:ascii="宋体" w:hAnsi="宋体" w:cs="宋体"/>
          <w:sz w:val="24"/>
          <w:szCs w:val="24"/>
          <w:lang w:val="en-US" w:eastAsia="zh-CN"/>
        </w:rPr>
        <w:t>三个披露项。划分标准为资源的类型。</w:t>
      </w:r>
    </w:p>
    <w:p>
      <w:pPr>
        <w:ind w:firstLine="420" w:firstLineChars="0"/>
        <w:rPr>
          <w:rFonts w:ascii="宋体" w:hAnsi="宋体" w:eastAsia="宋体" w:cs="宋体"/>
          <w:sz w:val="24"/>
          <w:szCs w:val="24"/>
        </w:rPr>
      </w:pPr>
      <w:r>
        <w:rPr>
          <w:rStyle w:val="26"/>
          <w:rFonts w:hint="eastAsia" w:ascii="宋体" w:hAnsi="宋体" w:cs="宋体"/>
          <w:sz w:val="24"/>
          <w:szCs w:val="24"/>
          <w:lang w:val="en-US" w:eastAsia="zh-CN"/>
        </w:rPr>
        <w:t>矿产资源</w:t>
      </w:r>
      <w:r>
        <w:rPr>
          <w:rFonts w:ascii="宋体" w:hAnsi="宋体" w:eastAsia="宋体" w:cs="宋体"/>
          <w:sz w:val="24"/>
          <w:szCs w:val="24"/>
        </w:rPr>
        <w:t>：建筑材料行业大量依赖矿产资源，如石灰石、砂岩、粘土等，这些</w:t>
      </w:r>
      <w:r>
        <w:rPr>
          <w:rFonts w:hint="eastAsia" w:ascii="宋体" w:hAnsi="宋体" w:cs="宋体"/>
          <w:sz w:val="24"/>
          <w:szCs w:val="24"/>
          <w:lang w:val="en-US" w:eastAsia="zh-CN"/>
        </w:rPr>
        <w:t>矿产</w:t>
      </w:r>
      <w:r>
        <w:rPr>
          <w:rFonts w:ascii="宋体" w:hAnsi="宋体" w:eastAsia="宋体" w:cs="宋体"/>
          <w:sz w:val="24"/>
          <w:szCs w:val="24"/>
        </w:rPr>
        <w:t>是生产水泥、玻璃和其他关键建材的基础原料。</w:t>
      </w:r>
      <w:r>
        <w:rPr>
          <w:rFonts w:hint="eastAsia" w:ascii="宋体" w:hAnsi="宋体" w:cs="宋体"/>
          <w:sz w:val="24"/>
          <w:szCs w:val="24"/>
          <w:lang w:val="en-US" w:eastAsia="zh-CN"/>
        </w:rPr>
        <w:t>对</w:t>
      </w:r>
      <w:r>
        <w:rPr>
          <w:rFonts w:ascii="宋体" w:hAnsi="宋体" w:eastAsia="宋体" w:cs="宋体"/>
          <w:sz w:val="24"/>
          <w:szCs w:val="24"/>
        </w:rPr>
        <w:t>矿产资源</w:t>
      </w:r>
      <w:r>
        <w:rPr>
          <w:rFonts w:hint="eastAsia" w:ascii="宋体" w:hAnsi="宋体" w:cs="宋体"/>
          <w:sz w:val="24"/>
          <w:szCs w:val="24"/>
          <w:lang w:val="en-US" w:eastAsia="zh-CN"/>
        </w:rPr>
        <w:t>的过度开采</w:t>
      </w:r>
      <w:r>
        <w:rPr>
          <w:rFonts w:ascii="宋体" w:hAnsi="宋体" w:eastAsia="宋体" w:cs="宋体"/>
          <w:sz w:val="24"/>
          <w:szCs w:val="24"/>
        </w:rPr>
        <w:t>会导致资源枯竭、生态失衡和环境破坏。企业需要披露其</w:t>
      </w:r>
      <w:r>
        <w:rPr>
          <w:rFonts w:hint="eastAsia" w:ascii="宋体" w:hAnsi="宋体" w:cs="宋体"/>
          <w:sz w:val="24"/>
          <w:szCs w:val="24"/>
          <w:lang w:val="en-US" w:eastAsia="zh-CN"/>
        </w:rPr>
        <w:t>生产经营中</w:t>
      </w:r>
      <w:r>
        <w:rPr>
          <w:rFonts w:ascii="宋体" w:hAnsi="宋体" w:eastAsia="宋体" w:cs="宋体"/>
          <w:sz w:val="24"/>
          <w:szCs w:val="24"/>
        </w:rPr>
        <w:t>矿产资源的获取、使用情况</w:t>
      </w:r>
      <w:r>
        <w:rPr>
          <w:rFonts w:hint="eastAsia" w:ascii="宋体" w:hAnsi="宋体" w:cs="宋体"/>
          <w:sz w:val="24"/>
          <w:szCs w:val="24"/>
          <w:lang w:val="en-US" w:eastAsia="zh-CN"/>
        </w:rPr>
        <w:t>与</w:t>
      </w:r>
      <w:r>
        <w:rPr>
          <w:rFonts w:ascii="宋体" w:hAnsi="宋体" w:eastAsia="宋体" w:cs="宋体"/>
          <w:sz w:val="24"/>
          <w:szCs w:val="24"/>
        </w:rPr>
        <w:t>储备量，展示其资源管理和未来可持续性战略。这有助于评估企业的长期供应链稳定性</w:t>
      </w:r>
      <w:r>
        <w:rPr>
          <w:rFonts w:hint="eastAsia" w:ascii="宋体" w:hAnsi="宋体" w:cs="宋体"/>
          <w:sz w:val="24"/>
          <w:szCs w:val="24"/>
          <w:lang w:val="en-US" w:eastAsia="zh-CN"/>
        </w:rPr>
        <w:t>以及</w:t>
      </w:r>
      <w:r>
        <w:rPr>
          <w:rFonts w:ascii="宋体" w:hAnsi="宋体" w:eastAsia="宋体" w:cs="宋体"/>
          <w:sz w:val="24"/>
          <w:szCs w:val="24"/>
        </w:rPr>
        <w:t>对环境承诺</w:t>
      </w:r>
      <w:r>
        <w:rPr>
          <w:rFonts w:hint="eastAsia" w:ascii="宋体" w:hAnsi="宋体" w:cs="宋体"/>
          <w:sz w:val="24"/>
          <w:szCs w:val="24"/>
          <w:lang w:val="en-US" w:eastAsia="zh-CN"/>
        </w:rPr>
        <w:t>的履行情况</w:t>
      </w:r>
      <w:r>
        <w:rPr>
          <w:rFonts w:ascii="宋体" w:hAnsi="宋体" w:eastAsia="宋体" w:cs="宋体"/>
          <w:sz w:val="24"/>
          <w:szCs w:val="24"/>
        </w:rPr>
        <w:t>。</w:t>
      </w:r>
    </w:p>
    <w:p>
      <w:pPr>
        <w:ind w:firstLine="420" w:firstLineChars="0"/>
        <w:rPr>
          <w:rFonts w:ascii="宋体" w:hAnsi="宋体" w:eastAsia="宋体" w:cs="宋体"/>
          <w:sz w:val="24"/>
          <w:szCs w:val="24"/>
        </w:rPr>
      </w:pPr>
      <w:r>
        <w:rPr>
          <w:rStyle w:val="26"/>
          <w:rFonts w:hint="eastAsia" w:ascii="宋体" w:hAnsi="宋体" w:cs="宋体"/>
          <w:sz w:val="24"/>
          <w:szCs w:val="24"/>
          <w:lang w:val="en-US" w:eastAsia="zh-CN"/>
        </w:rPr>
        <w:t>林木资源</w:t>
      </w:r>
      <w:r>
        <w:rPr>
          <w:rFonts w:ascii="宋体" w:hAnsi="宋体" w:eastAsia="宋体" w:cs="宋体"/>
          <w:sz w:val="24"/>
          <w:szCs w:val="24"/>
        </w:rPr>
        <w:t>：对于使用木材的建筑材料生产商而言，</w:t>
      </w:r>
      <w:r>
        <w:rPr>
          <w:rFonts w:hint="eastAsia" w:ascii="宋体" w:hAnsi="宋体" w:cs="宋体"/>
          <w:sz w:val="24"/>
          <w:szCs w:val="24"/>
          <w:lang w:val="en-US" w:eastAsia="zh-CN"/>
        </w:rPr>
        <w:t>如何</w:t>
      </w:r>
      <w:r>
        <w:rPr>
          <w:rFonts w:ascii="宋体" w:hAnsi="宋体" w:eastAsia="宋体" w:cs="宋体"/>
          <w:sz w:val="24"/>
          <w:szCs w:val="24"/>
        </w:rPr>
        <w:t>管理林木资源是其</w:t>
      </w:r>
      <w:r>
        <w:rPr>
          <w:rFonts w:hint="eastAsia" w:ascii="宋体" w:hAnsi="宋体" w:cs="宋体"/>
          <w:sz w:val="24"/>
          <w:szCs w:val="24"/>
          <w:lang w:val="en-US" w:eastAsia="zh-CN"/>
        </w:rPr>
        <w:t>实现</w:t>
      </w:r>
      <w:r>
        <w:rPr>
          <w:rFonts w:ascii="宋体" w:hAnsi="宋体" w:eastAsia="宋体" w:cs="宋体"/>
          <w:sz w:val="24"/>
          <w:szCs w:val="24"/>
        </w:rPr>
        <w:t>可持续发展的关键</w:t>
      </w:r>
      <w:r>
        <w:rPr>
          <w:rFonts w:hint="eastAsia" w:ascii="宋体" w:hAnsi="宋体" w:cs="宋体"/>
          <w:sz w:val="24"/>
          <w:szCs w:val="24"/>
          <w:lang w:val="en-US" w:eastAsia="zh-CN"/>
        </w:rPr>
        <w:t>问题之一</w:t>
      </w:r>
      <w:r>
        <w:rPr>
          <w:rFonts w:ascii="宋体" w:hAnsi="宋体" w:eastAsia="宋体" w:cs="宋体"/>
          <w:sz w:val="24"/>
          <w:szCs w:val="24"/>
        </w:rPr>
        <w:t>。不可持续的伐木活动会导致森林退化、生物多样性丧失和碳排放增加。企业应披露其木材采购政策、可持续森林管理实践以及与森林认证体系的合作情况</w:t>
      </w:r>
      <w:r>
        <w:rPr>
          <w:rFonts w:hint="eastAsia" w:ascii="宋体" w:hAnsi="宋体" w:cs="宋体"/>
          <w:sz w:val="24"/>
          <w:szCs w:val="24"/>
          <w:lang w:val="en-US" w:eastAsia="zh-CN"/>
        </w:rPr>
        <w:t>以展示</w:t>
      </w:r>
      <w:r>
        <w:rPr>
          <w:rFonts w:ascii="宋体" w:hAnsi="宋体" w:eastAsia="宋体" w:cs="宋体"/>
          <w:sz w:val="24"/>
          <w:szCs w:val="24"/>
        </w:rPr>
        <w:t>企业对全球森林健康和生态保护的承诺。</w:t>
      </w:r>
    </w:p>
    <w:p>
      <w:pPr>
        <w:ind w:firstLine="420" w:firstLineChars="0"/>
        <w:rPr>
          <w:rFonts w:ascii="宋体" w:hAnsi="宋体" w:eastAsia="宋体" w:cs="宋体"/>
          <w:sz w:val="24"/>
          <w:szCs w:val="24"/>
        </w:rPr>
      </w:pPr>
      <w:r>
        <w:rPr>
          <w:rStyle w:val="26"/>
          <w:rFonts w:hint="eastAsia" w:ascii="宋体" w:hAnsi="宋体" w:cs="宋体"/>
          <w:sz w:val="24"/>
          <w:szCs w:val="24"/>
          <w:lang w:val="en-US" w:eastAsia="zh-CN"/>
        </w:rPr>
        <w:t>水资源</w:t>
      </w:r>
      <w:r>
        <w:rPr>
          <w:rFonts w:ascii="宋体" w:hAnsi="宋体" w:eastAsia="宋体" w:cs="宋体"/>
          <w:sz w:val="24"/>
          <w:szCs w:val="24"/>
        </w:rPr>
        <w:t>：水是</w:t>
      </w:r>
      <w:r>
        <w:rPr>
          <w:rFonts w:hint="eastAsia" w:ascii="宋体" w:hAnsi="宋体" w:cs="宋体"/>
          <w:sz w:val="24"/>
          <w:szCs w:val="24"/>
          <w:lang w:val="en-US" w:eastAsia="zh-CN"/>
        </w:rPr>
        <w:t>企业</w:t>
      </w:r>
      <w:r>
        <w:rPr>
          <w:rFonts w:ascii="宋体" w:hAnsi="宋体" w:eastAsia="宋体" w:cs="宋体"/>
          <w:sz w:val="24"/>
          <w:szCs w:val="24"/>
        </w:rPr>
        <w:t>生产过程中不可或缺的资源，特别是在水泥、混凝土等产品的生产中。不合理的水资源管理可能导致资源短缺、生态系统破坏和社区冲突。企业</w:t>
      </w:r>
      <w:r>
        <w:rPr>
          <w:rFonts w:hint="eastAsia" w:ascii="宋体" w:hAnsi="宋体" w:cs="宋体"/>
          <w:sz w:val="24"/>
          <w:szCs w:val="24"/>
          <w:lang w:val="en-US" w:eastAsia="zh-CN"/>
        </w:rPr>
        <w:t>可以通过</w:t>
      </w:r>
      <w:r>
        <w:rPr>
          <w:rFonts w:ascii="宋体" w:hAnsi="宋体" w:eastAsia="宋体" w:cs="宋体"/>
          <w:sz w:val="24"/>
          <w:szCs w:val="24"/>
        </w:rPr>
        <w:t>披露水资源的使用量、回收利用情况和</w:t>
      </w:r>
      <w:r>
        <w:rPr>
          <w:rFonts w:hint="eastAsia" w:ascii="宋体" w:hAnsi="宋体" w:cs="宋体"/>
          <w:sz w:val="24"/>
          <w:szCs w:val="24"/>
          <w:lang w:val="en-US" w:eastAsia="zh-CN"/>
        </w:rPr>
        <w:t>提高用水</w:t>
      </w:r>
      <w:r>
        <w:rPr>
          <w:rFonts w:ascii="宋体" w:hAnsi="宋体" w:eastAsia="宋体" w:cs="宋体"/>
          <w:sz w:val="24"/>
          <w:szCs w:val="24"/>
        </w:rPr>
        <w:t>效率</w:t>
      </w:r>
      <w:r>
        <w:rPr>
          <w:rFonts w:hint="eastAsia" w:ascii="宋体" w:hAnsi="宋体" w:cs="宋体"/>
          <w:sz w:val="24"/>
          <w:szCs w:val="24"/>
          <w:lang w:val="en-US" w:eastAsia="zh-CN"/>
        </w:rPr>
        <w:t>的具体</w:t>
      </w:r>
      <w:r>
        <w:rPr>
          <w:rFonts w:ascii="宋体" w:hAnsi="宋体" w:eastAsia="宋体" w:cs="宋体"/>
          <w:sz w:val="24"/>
          <w:szCs w:val="24"/>
        </w:rPr>
        <w:t>措施</w:t>
      </w:r>
      <w:r>
        <w:rPr>
          <w:rFonts w:hint="eastAsia" w:ascii="宋体" w:hAnsi="宋体" w:cs="宋体"/>
          <w:sz w:val="24"/>
          <w:szCs w:val="24"/>
          <w:lang w:val="en-US" w:eastAsia="zh-CN"/>
        </w:rPr>
        <w:t>来帮助利益相关者</w:t>
      </w:r>
      <w:r>
        <w:rPr>
          <w:rFonts w:ascii="宋体" w:hAnsi="宋体" w:eastAsia="宋体" w:cs="宋体"/>
          <w:sz w:val="24"/>
          <w:szCs w:val="24"/>
        </w:rPr>
        <w:t>了解企业是如何减少水足迹、保护水资源和促进水资源的可持续利用。</w:t>
      </w:r>
    </w:p>
    <w:p>
      <w:pPr>
        <w:pStyle w:val="5"/>
        <w:rPr>
          <w:rFonts w:hint="eastAsia"/>
          <w:lang w:val="en-US" w:eastAsia="zh-CN"/>
        </w:rPr>
      </w:pPr>
      <w:r>
        <w:rPr>
          <w:rFonts w:hint="eastAsia"/>
          <w:lang w:val="en-US" w:eastAsia="zh-CN"/>
        </w:rPr>
        <w:t>2.7.3.2 指标的选取</w:t>
      </w:r>
    </w:p>
    <w:p>
      <w:pPr>
        <w:spacing w:line="360" w:lineRule="auto"/>
        <w:ind w:firstLine="480"/>
        <w:rPr>
          <w:rFonts w:hint="eastAsia"/>
          <w:b/>
          <w:bCs/>
          <w:highlight w:val="none"/>
          <w:lang w:val="en-US" w:eastAsia="zh-CN"/>
        </w:rPr>
      </w:pPr>
      <w:r>
        <w:rPr>
          <w:rFonts w:hint="eastAsia" w:cs="Times New Roman"/>
          <w:sz w:val="24"/>
          <w:szCs w:val="24"/>
          <w:lang w:val="en-US" w:eastAsia="zh-CN"/>
        </w:rPr>
        <w:t>将本文件议题下的专题披露项（即标题所指的指标）对照IFRS、ESRS、国证ESG、GRI、港交所的ESG信息披露框架，旨在说明该指标的主流披露框架覆盖率、适用性以及其科学合理性。</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1440"/>
        <w:gridCol w:w="1505"/>
        <w:gridCol w:w="1440"/>
        <w:gridCol w:w="1398"/>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40" w:lineRule="auto"/>
              <w:jc w:val="center"/>
              <w:rPr>
                <w:rFonts w:hint="default" w:ascii="Times New Roman" w:hAnsi="Times New Roman" w:eastAsia="宋体"/>
                <w:b w:val="0"/>
                <w:bCs w:val="0"/>
                <w:sz w:val="18"/>
                <w:szCs w:val="18"/>
                <w:lang w:val="en-US" w:eastAsia="zh-CN"/>
              </w:rPr>
            </w:pPr>
          </w:p>
        </w:tc>
        <w:tc>
          <w:tcPr>
            <w:tcW w:w="2293" w:type="dxa"/>
          </w:tcPr>
          <w:p>
            <w:pPr>
              <w:spacing w:line="240" w:lineRule="auto"/>
              <w:jc w:val="center"/>
              <w:rPr>
                <w:rFonts w:hint="default" w:ascii="Times New Roman" w:hAnsi="Times New Roman" w:eastAsia="宋体"/>
                <w:b w:val="0"/>
                <w:bCs w:val="0"/>
                <w:sz w:val="18"/>
                <w:szCs w:val="18"/>
                <w:lang w:val="en-US" w:eastAsia="zh-CN"/>
              </w:rPr>
            </w:pPr>
            <w:r>
              <w:rPr>
                <w:rFonts w:hint="default" w:ascii="Times New Roman" w:hAnsi="Times New Roman" w:eastAsia="宋体"/>
                <w:b w:val="0"/>
                <w:bCs w:val="0"/>
                <w:sz w:val="18"/>
                <w:szCs w:val="18"/>
                <w:lang w:val="en-US" w:eastAsia="zh-CN"/>
              </w:rPr>
              <w:t>IFRS</w:t>
            </w:r>
          </w:p>
        </w:tc>
        <w:tc>
          <w:tcPr>
            <w:tcW w:w="2373"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ESRS</w:t>
            </w:r>
          </w:p>
        </w:tc>
        <w:tc>
          <w:tcPr>
            <w:tcW w:w="233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国证ESG</w:t>
            </w:r>
          </w:p>
        </w:tc>
        <w:tc>
          <w:tcPr>
            <w:tcW w:w="228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w:t>
            </w:r>
          </w:p>
        </w:tc>
        <w:tc>
          <w:tcPr>
            <w:tcW w:w="226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港交所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矿产资源</w:t>
            </w:r>
          </w:p>
        </w:tc>
        <w:tc>
          <w:tcPr>
            <w:tcW w:w="2293"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气候弹性-国家或地区层面的变量（自然资源）</w:t>
            </w:r>
          </w:p>
        </w:tc>
        <w:tc>
          <w:tcPr>
            <w:tcW w:w="2373"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披露要求E5 资源使用和循环经济</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4资源流入</w:t>
            </w:r>
          </w:p>
        </w:tc>
        <w:tc>
          <w:tcPr>
            <w:tcW w:w="233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资源利用-物料耗用</w:t>
            </w:r>
          </w:p>
        </w:tc>
        <w:tc>
          <w:tcPr>
            <w:tcW w:w="228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c>
          <w:tcPr>
            <w:tcW w:w="226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环境保护-环境及天然资源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林木资源</w:t>
            </w:r>
          </w:p>
        </w:tc>
        <w:tc>
          <w:tcPr>
            <w:tcW w:w="2293"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气候弹性-国家或地区层面的变量（自然资源）</w:t>
            </w:r>
          </w:p>
        </w:tc>
        <w:tc>
          <w:tcPr>
            <w:tcW w:w="2373"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披露要求E5 资源使用和循环经济</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4资源流入</w:t>
            </w:r>
          </w:p>
        </w:tc>
        <w:tc>
          <w:tcPr>
            <w:tcW w:w="233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资源利用-物料耗用</w:t>
            </w:r>
          </w:p>
        </w:tc>
        <w:tc>
          <w:tcPr>
            <w:tcW w:w="228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c>
          <w:tcPr>
            <w:tcW w:w="226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环境保护-环境及天然资源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水资源</w:t>
            </w:r>
          </w:p>
        </w:tc>
        <w:tc>
          <w:tcPr>
            <w:tcW w:w="2293"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气候弹性-国家或地区层面的变量（自然资源）</w:t>
            </w:r>
          </w:p>
        </w:tc>
        <w:tc>
          <w:tcPr>
            <w:tcW w:w="2373"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披露要求E3 水资源与海洋资源</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2 与水和海洋资源有关的行动和资源</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4 用水量</w:t>
            </w:r>
          </w:p>
        </w:tc>
        <w:tc>
          <w:tcPr>
            <w:tcW w:w="233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资源利用-水资源</w:t>
            </w:r>
          </w:p>
        </w:tc>
        <w:tc>
          <w:tcPr>
            <w:tcW w:w="228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303 水资源与污水</w:t>
            </w:r>
          </w:p>
        </w:tc>
        <w:tc>
          <w:tcPr>
            <w:tcW w:w="226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环境保护-环境及天然资源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循环经济</w:t>
            </w:r>
          </w:p>
        </w:tc>
        <w:tc>
          <w:tcPr>
            <w:tcW w:w="2293" w:type="dxa"/>
          </w:tcPr>
          <w:p>
            <w:pPr>
              <w:spacing w:line="240" w:lineRule="auto"/>
              <w:jc w:val="center"/>
              <w:rPr>
                <w:rFonts w:hint="default" w:ascii="Times New Roman" w:hAnsi="Times New Roman" w:eastAsia="宋体"/>
                <w:b w:val="0"/>
                <w:bCs w:val="0"/>
                <w:sz w:val="18"/>
                <w:szCs w:val="18"/>
                <w:lang w:val="en-US" w:eastAsia="zh-CN"/>
              </w:rPr>
            </w:pPr>
          </w:p>
        </w:tc>
        <w:tc>
          <w:tcPr>
            <w:tcW w:w="2373"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披露要求E5资源使用和循环经济</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1 资源利用与循环经济相关政策</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2 与资源利用和循环经济相关的行动和资源</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3 资源利用与循环经济相关目标</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4资源流入</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5 资源流出</w:t>
            </w:r>
          </w:p>
        </w:tc>
        <w:tc>
          <w:tcPr>
            <w:tcW w:w="233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环境机遇-绿色业务</w:t>
            </w:r>
          </w:p>
        </w:tc>
        <w:tc>
          <w:tcPr>
            <w:tcW w:w="228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301 物料</w:t>
            </w:r>
          </w:p>
        </w:tc>
        <w:tc>
          <w:tcPr>
            <w:tcW w:w="226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环境保护-环境及天然资源</w:t>
            </w:r>
          </w:p>
        </w:tc>
      </w:tr>
    </w:tbl>
    <w:p>
      <w:pPr>
        <w:widowControl w:val="0"/>
        <w:numPr>
          <w:ilvl w:val="0"/>
          <w:numId w:val="0"/>
        </w:numPr>
        <w:spacing w:line="360" w:lineRule="auto"/>
        <w:jc w:val="both"/>
        <w:rPr>
          <w:rFonts w:hint="default"/>
          <w:highlight w:val="yellow"/>
          <w:lang w:val="en-US" w:eastAsia="zh-CN"/>
        </w:rPr>
      </w:pPr>
    </w:p>
    <w:p>
      <w:pPr>
        <w:pStyle w:val="5"/>
        <w:rPr>
          <w:rFonts w:hint="eastAsia"/>
          <w:lang w:val="en-US" w:eastAsia="zh-CN"/>
        </w:rPr>
      </w:pPr>
      <w:r>
        <w:rPr>
          <w:rFonts w:hint="eastAsia"/>
          <w:lang w:val="en-US" w:eastAsia="zh-CN"/>
        </w:rPr>
        <w:t>2.7.3.3 战略、目标与举措</w:t>
      </w:r>
    </w:p>
    <w:p>
      <w:pPr>
        <w:ind w:firstLine="420" w:firstLineChars="0"/>
        <w:rPr>
          <w:rFonts w:hint="default"/>
          <w:b/>
          <w:bCs/>
          <w:highlight w:val="yellow"/>
          <w:lang w:val="en-US" w:eastAsia="zh-CN"/>
        </w:rPr>
      </w:pPr>
      <w:r>
        <w:rPr>
          <w:rFonts w:hint="eastAsia" w:cs="Times New Roman"/>
          <w:sz w:val="24"/>
          <w:szCs w:val="24"/>
          <w:lang w:val="en-US" w:eastAsia="zh-CN"/>
        </w:rPr>
        <w:t>具体到资源议题。就企业自身业态而言，由于建筑材料行业仍然是典型资源能源消耗型行业。中国的建筑材料工业每10,000吨产值消耗2.7吨煤炭，消耗100吨以上的采矿资源，相较于发达国家高出1.5-2倍。能源消耗年总量高达2.1亿吨标准煤，所消耗的矿产资源更是高达40亿吨</w:t>
      </w:r>
      <w:r>
        <w:rPr>
          <w:rFonts w:hint="eastAsia"/>
          <w:lang w:val="en-US" w:eastAsia="zh-CN"/>
        </w:rPr>
        <w:t>。就外部环境变化而言，资源消耗虽存在利用率低、一次资源消耗占比高等问题，但世界各国普遍推广清洁生产和循环经济。国家发展改革委印发《“十四五”循环经济发展规划》（以下简称《规划》）。《规划》提出，到2025年，循环型生产方式全面推行，绿色设计和清洁生产普遍推广，资源综合利用能力显著提升，资源循环型产业体系基本建立。废旧物资回收网络更加完善，再生资源循环利用能力进一步提升，覆盖全社会的资源循环利用体系基本建成。资源利用效率大幅提高，再生资源对原生资源的替代比例进一步提高，循环经济对资源安全的支撑保障作用进一步凸显。因而对于建筑材料企业来说，应根据企业自身状况，选择WO战略或WT战略。企业需提升资源综合利用水平，持续提升关键工艺和过程管理水平，提高一次资源利用效率，从源头上减少资源能源消耗。大力发展循环经济、把握清洁技术机遇，提高资源利用效率和再生资源利用水平。</w:t>
      </w:r>
    </w:p>
    <w:p>
      <w:pPr>
        <w:pStyle w:val="5"/>
        <w:rPr>
          <w:rFonts w:hint="eastAsia"/>
          <w:lang w:val="en-US" w:eastAsia="zh-CN"/>
        </w:rPr>
      </w:pPr>
      <w:r>
        <w:rPr>
          <w:rFonts w:hint="eastAsia"/>
          <w:lang w:val="en-US" w:eastAsia="zh-CN"/>
        </w:rPr>
        <w:t>2.7.3.4 特定行业指南</w:t>
      </w:r>
    </w:p>
    <w:p>
      <w:pPr>
        <w:ind w:firstLine="420" w:firstLineChars="0"/>
        <w:rPr>
          <w:rFonts w:hint="default"/>
          <w:lang w:val="en-US" w:eastAsia="zh-CN"/>
        </w:rPr>
      </w:pPr>
      <w:r>
        <w:rPr>
          <w:rFonts w:hint="eastAsia"/>
          <w:lang w:val="en-US" w:eastAsia="zh-CN"/>
        </w:rPr>
        <w:t>建筑原材料与建筑部品产品行业对于资源的消耗各有侧重，建筑原材料大量消耗煤炭等矿产资源，对于林木资源的消耗较少。而以门窗、家具等建筑部品产品为主营业务的企业则更多地消耗林木资源。</w:t>
      </w:r>
    </w:p>
    <w:p>
      <w:pPr>
        <w:widowControl w:val="0"/>
        <w:numPr>
          <w:ilvl w:val="0"/>
          <w:numId w:val="0"/>
        </w:numPr>
        <w:spacing w:line="36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表5 特定行业资源信息披露与评级指标要求</w:t>
      </w:r>
    </w:p>
    <w:tbl>
      <w:tblPr>
        <w:tblStyle w:val="24"/>
        <w:tblW w:w="8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817"/>
        <w:gridCol w:w="1849"/>
        <w:gridCol w:w="2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749" w:type="dxa"/>
          </w:tcPr>
          <w:p>
            <w:pPr>
              <w:spacing w:line="240" w:lineRule="auto"/>
              <w:jc w:val="center"/>
              <w:rPr>
                <w:rFonts w:hint="default" w:ascii="Times New Roman" w:hAnsi="Times New Roman" w:eastAsia="宋体"/>
                <w:b w:val="0"/>
                <w:bCs w:val="0"/>
                <w:sz w:val="18"/>
                <w:szCs w:val="18"/>
                <w:lang w:val="en-US" w:eastAsia="zh-CN"/>
              </w:rPr>
            </w:pPr>
          </w:p>
        </w:tc>
        <w:tc>
          <w:tcPr>
            <w:tcW w:w="181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披露框架</w:t>
            </w:r>
          </w:p>
        </w:tc>
        <w:tc>
          <w:tcPr>
            <w:tcW w:w="4622" w:type="dxa"/>
            <w:gridSpan w:val="2"/>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评级框架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749" w:type="dxa"/>
          </w:tcPr>
          <w:p>
            <w:pPr>
              <w:spacing w:line="240" w:lineRule="auto"/>
              <w:jc w:val="center"/>
              <w:rPr>
                <w:rFonts w:hint="default" w:ascii="Times New Roman" w:hAnsi="Times New Roman" w:eastAsia="宋体"/>
                <w:b w:val="0"/>
                <w:bCs w:val="0"/>
                <w:sz w:val="18"/>
                <w:szCs w:val="18"/>
                <w:lang w:val="en-US" w:eastAsia="zh-CN"/>
              </w:rPr>
            </w:pPr>
          </w:p>
        </w:tc>
        <w:tc>
          <w:tcPr>
            <w:tcW w:w="181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IFRS</w:t>
            </w:r>
          </w:p>
        </w:tc>
        <w:tc>
          <w:tcPr>
            <w:tcW w:w="184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MSCI</w:t>
            </w:r>
          </w:p>
        </w:tc>
        <w:tc>
          <w:tcPr>
            <w:tcW w:w="2773"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CSA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74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建筑原材料</w:t>
            </w:r>
          </w:p>
        </w:tc>
        <w:tc>
          <w:tcPr>
            <w:tcW w:w="1817"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水管理</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废物管理</w:t>
            </w:r>
          </w:p>
        </w:tc>
        <w:tc>
          <w:tcPr>
            <w:tcW w:w="184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用水压力</w:t>
            </w:r>
          </w:p>
        </w:tc>
        <w:tc>
          <w:tcPr>
            <w:tcW w:w="2773"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可持续建筑</w:t>
            </w:r>
          </w:p>
          <w:p>
            <w:pPr>
              <w:spacing w:line="240" w:lineRule="auto"/>
              <w:jc w:val="center"/>
              <w:rPr>
                <w:rFonts w:hint="default" w:ascii="Times New Roman" w:hAnsi="Times New Roman" w:eastAsia="宋体"/>
                <w:b w:val="0"/>
                <w:bCs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74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建筑部品产品</w:t>
            </w:r>
          </w:p>
        </w:tc>
        <w:tc>
          <w:tcPr>
            <w:tcW w:w="181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木材供应链管理</w:t>
            </w:r>
          </w:p>
        </w:tc>
        <w:tc>
          <w:tcPr>
            <w:tcW w:w="184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原材料采购</w:t>
            </w:r>
          </w:p>
        </w:tc>
        <w:tc>
          <w:tcPr>
            <w:tcW w:w="2773"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回收策略</w:t>
            </w:r>
          </w:p>
        </w:tc>
      </w:tr>
    </w:tbl>
    <w:p>
      <w:pPr>
        <w:pStyle w:val="4"/>
        <w:rPr>
          <w:rFonts w:hint="eastAsia" w:ascii="Times New Roman" w:hAnsi="Times New Roman"/>
          <w:lang w:val="en-US" w:eastAsia="zh-CN"/>
        </w:rPr>
      </w:pPr>
      <w:r>
        <w:rPr>
          <w:rFonts w:hint="default" w:ascii="Times New Roman" w:hAnsi="Times New Roman"/>
          <w:lang w:eastAsia="zh-CN"/>
        </w:rPr>
        <w:t>2</w:t>
      </w:r>
      <w:r>
        <w:rPr>
          <w:rFonts w:hint="eastAsia" w:ascii="Times New Roman" w:hAnsi="Times New Roman"/>
          <w:lang w:val="en-US" w:eastAsia="zh-Hans"/>
        </w:rPr>
        <w:t>.</w:t>
      </w:r>
      <w:r>
        <w:rPr>
          <w:rFonts w:hint="eastAsia" w:ascii="Times New Roman" w:hAnsi="Times New Roman"/>
          <w:lang w:val="en-US" w:eastAsia="zh-CN"/>
        </w:rPr>
        <w:t>7.4</w:t>
      </w:r>
      <w:r>
        <w:rPr>
          <w:rFonts w:hint="default" w:ascii="Times New Roman" w:hAnsi="Times New Roman"/>
          <w:lang w:val="en-US" w:eastAsia="zh-CN"/>
        </w:rPr>
        <w:t xml:space="preserve"> </w:t>
      </w:r>
      <w:r>
        <w:rPr>
          <w:rFonts w:hint="eastAsia" w:ascii="Times New Roman" w:hAnsi="Times New Roman"/>
          <w:lang w:val="en-US" w:eastAsia="zh-CN"/>
        </w:rPr>
        <w:t>生物多样性</w:t>
      </w:r>
    </w:p>
    <w:p>
      <w:pPr>
        <w:pStyle w:val="5"/>
        <w:rPr>
          <w:rFonts w:hint="eastAsia"/>
          <w:lang w:val="en-US" w:eastAsia="zh-CN"/>
        </w:rPr>
      </w:pPr>
      <w:r>
        <w:rPr>
          <w:rFonts w:hint="eastAsia"/>
          <w:lang w:val="en-US" w:eastAsia="zh-CN"/>
        </w:rPr>
        <w:t>2.7.4.1 披露项的设置</w:t>
      </w:r>
    </w:p>
    <w:p>
      <w:pPr>
        <w:ind w:firstLine="420" w:firstLineChars="0"/>
        <w:rPr>
          <w:rFonts w:hint="eastAsia"/>
          <w:lang w:val="en-US" w:eastAsia="zh-CN"/>
        </w:rPr>
      </w:pPr>
      <w:r>
        <w:rPr>
          <w:rFonts w:hint="eastAsia"/>
          <w:lang w:val="en-US" w:eastAsia="zh-CN"/>
        </w:rPr>
        <w:t>生物多样性是地球生命健康的基石。它支持了我们所依赖的自然系统，提供食物、清洁水、空气质量和疾病控制等生态服务。保护生物多样性对于确保动植物物种的生存、遗传多样性和自然生态系统至关重要。然而，人类活动，特别是大规模的工业活动，对生物多样性产生了巨大压力，导致物种灭绝率急剧上升，生态系统服务下降。因此，在ESG（环境、社会和治理）信息披露中，生物多样性议题是企业展示其环境责任和可持续发展承诺的重要方面。生物多样性议题在建筑材料行业的ESG信息披露中占据了重要位置，这个议题直接关系到企业是否履行其环境责任、发展并尊重社会声誉和长期可持续性。通过积极参与生物多样性的保护和恢复，建材企业不仅可以为当今的社会做出贡献，也可为未来的世界播下希望的种子。</w:t>
      </w:r>
    </w:p>
    <w:p>
      <w:pPr>
        <w:ind w:firstLine="420" w:firstLineChars="0"/>
        <w:rPr>
          <w:rFonts w:hint="eastAsia"/>
          <w:lang w:val="en-US" w:eastAsia="zh-CN"/>
        </w:rPr>
      </w:pPr>
      <w:r>
        <w:rPr>
          <w:rFonts w:hint="eastAsia"/>
          <w:lang w:val="en-US" w:eastAsia="zh-CN"/>
        </w:rPr>
        <w:t>建筑材料行业对生物多样性的影响主要体现在以下几个方面：</w:t>
      </w:r>
    </w:p>
    <w:p>
      <w:pPr>
        <w:ind w:firstLine="420" w:firstLineChars="0"/>
        <w:rPr>
          <w:rFonts w:hint="eastAsia"/>
          <w:lang w:val="en-US" w:eastAsia="zh-CN"/>
        </w:rPr>
      </w:pPr>
      <w:r>
        <w:rPr>
          <w:rFonts w:hint="eastAsia"/>
          <w:lang w:val="en-US" w:eastAsia="zh-CN"/>
        </w:rPr>
        <w:t>生态系统与运营区域：监测正在保护区和保护区外生物多样性丰富区域进行的哪些活动可能使组织降低企业对生物多样性产生影响的风险。这也可能使组织管理对生物多样性的影响或避免管理不善。</w:t>
      </w:r>
    </w:p>
    <w:p>
      <w:pPr>
        <w:ind w:firstLine="420" w:firstLineChars="0"/>
        <w:rPr>
          <w:rFonts w:hint="eastAsia"/>
          <w:lang w:val="en-US" w:eastAsia="zh-CN"/>
        </w:rPr>
      </w:pPr>
      <w:r>
        <w:rPr>
          <w:rFonts w:hint="eastAsia"/>
          <w:lang w:val="en-US" w:eastAsia="zh-CN"/>
        </w:rPr>
        <w:t>物种与栖息地：有助于企业识别其生产经营活动对濒危动植物物种构成威胁的方面。通过识别这些威胁，企业可采取适当的措施，以避免损害并防止物种灭绝。</w:t>
      </w:r>
    </w:p>
    <w:p>
      <w:pPr>
        <w:pStyle w:val="5"/>
        <w:rPr>
          <w:rFonts w:hint="eastAsia"/>
          <w:lang w:val="en-US" w:eastAsia="zh-CN"/>
        </w:rPr>
      </w:pPr>
      <w:r>
        <w:rPr>
          <w:rFonts w:hint="eastAsia"/>
          <w:lang w:val="en-US" w:eastAsia="zh-CN"/>
        </w:rPr>
        <w:t>2.7.4.2 指标的选取</w:t>
      </w:r>
    </w:p>
    <w:p>
      <w:pPr>
        <w:ind w:firstLine="420" w:firstLineChars="0"/>
        <w:rPr>
          <w:rFonts w:hint="eastAsia"/>
          <w:lang w:val="en-US" w:eastAsia="zh-CN"/>
        </w:rPr>
      </w:pPr>
      <w:r>
        <w:rPr>
          <w:rFonts w:hint="eastAsia"/>
          <w:lang w:val="en-US" w:eastAsia="zh-CN"/>
        </w:rPr>
        <w:t>将本文件议题下的专题披露项（即标题所指的指标）对照IFRS、ESRS、国证ESG、GRI、港交所的ESG信息披露框架，旨在说明该指标的主流披露框架覆盖率、适用性以及其科学合理性。</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1703"/>
        <w:gridCol w:w="1466"/>
        <w:gridCol w:w="1460"/>
        <w:gridCol w:w="1372"/>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p>
        </w:tc>
        <w:tc>
          <w:tcPr>
            <w:tcW w:w="2654" w:type="dxa"/>
          </w:tcPr>
          <w:p>
            <w:pPr>
              <w:spacing w:line="240" w:lineRule="auto"/>
              <w:jc w:val="center"/>
              <w:rPr>
                <w:rFonts w:hint="default" w:ascii="Times New Roman" w:hAnsi="Times New Roman" w:eastAsia="宋体"/>
                <w:b w:val="0"/>
                <w:bCs w:val="0"/>
                <w:sz w:val="18"/>
                <w:szCs w:val="18"/>
                <w:lang w:val="en-US" w:eastAsia="zh-CN"/>
              </w:rPr>
            </w:pPr>
            <w:r>
              <w:rPr>
                <w:rFonts w:hint="default" w:ascii="Times New Roman" w:hAnsi="Times New Roman" w:eastAsia="宋体"/>
                <w:b w:val="0"/>
                <w:bCs w:val="0"/>
                <w:sz w:val="18"/>
                <w:szCs w:val="18"/>
                <w:lang w:val="en-US" w:eastAsia="zh-CN"/>
              </w:rPr>
              <w:t>IFRS</w:t>
            </w:r>
          </w:p>
        </w:tc>
        <w:tc>
          <w:tcPr>
            <w:tcW w:w="230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ESRS</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国证ESG</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港交所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生态系统与运营区域</w:t>
            </w:r>
          </w:p>
        </w:tc>
        <w:tc>
          <w:tcPr>
            <w:tcW w:w="265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一般披露要求-(b)-(i)生物多样性相关披露</w:t>
            </w:r>
          </w:p>
        </w:tc>
        <w:tc>
          <w:tcPr>
            <w:tcW w:w="2306"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披露要求E4 生物多样性与生态系统</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3 与生物多样性和生态系统有关的行动和资源</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4 与生物多样性和生态系统有关的目标</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5 与生物多样性和生态系统变化相关的影响指标</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生态保护-生物多样性</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304 生物多样性</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物种与栖息地</w:t>
            </w:r>
          </w:p>
        </w:tc>
        <w:tc>
          <w:tcPr>
            <w:tcW w:w="265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一般披露要求-（b)-(i)生物多样性相关披露</w:t>
            </w:r>
          </w:p>
        </w:tc>
        <w:tc>
          <w:tcPr>
            <w:tcW w:w="2306"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披露要求E4 生物多样性与生态系统</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3 与生物多样性和生态系统有关的行动和资源</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4 与生物多样性和生态系统有关的目标</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5 与生物多样性和生态系统变化相关的影响指标</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生态保护-生物多样性</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304 生物多样性</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r>
    </w:tbl>
    <w:p>
      <w:pPr>
        <w:pStyle w:val="5"/>
        <w:rPr>
          <w:rFonts w:hint="eastAsia"/>
          <w:lang w:val="en-US" w:eastAsia="zh-CN"/>
        </w:rPr>
      </w:pPr>
      <w:r>
        <w:rPr>
          <w:rFonts w:hint="eastAsia"/>
          <w:lang w:val="en-US" w:eastAsia="zh-CN"/>
        </w:rPr>
        <w:t>2.7.4.3 战略、目标与举措</w:t>
      </w:r>
    </w:p>
    <w:p>
      <w:pPr>
        <w:ind w:firstLine="420" w:firstLineChars="0"/>
        <w:rPr>
          <w:rFonts w:hint="eastAsia"/>
          <w:lang w:val="en-US" w:eastAsia="zh-CN"/>
        </w:rPr>
      </w:pPr>
      <w:r>
        <w:rPr>
          <w:rFonts w:hint="eastAsia"/>
          <w:lang w:val="en-US" w:eastAsia="zh-CN"/>
        </w:rPr>
        <w:t>具体到生物多样性议题。就企业自身业态而言，由于建筑材料行业的碳密集特性，给环境造成较大压力。就外部环境变化而言，生物多样性的丧失为社会和企业带来了风险，可能导致重大的负面经济和社会后果。反之，对生物多样性的丧失采取行动则提供了机遇。生物多样性和生态系统服务的丧失对企业的影响包括转型、物理、诉讼和监管以及系统性风险，这些风险有可能在短期、中期和长期内影响投资价值。因而对于建筑材料企业来说，应根据企业自身状况，选择WO战略或WT战略。建筑材料企业需采取积极措，减缓生物多样性保护压力，提升生物多样性保护水平，促进人与自然和谐共生，实现可持续发展，尤其对于处于保护区或生物多样性丰富区域的建筑材料企业。</w:t>
      </w:r>
    </w:p>
    <w:p>
      <w:pPr>
        <w:pStyle w:val="5"/>
        <w:rPr>
          <w:rFonts w:hint="eastAsia"/>
          <w:lang w:val="en-US" w:eastAsia="zh-CN"/>
        </w:rPr>
      </w:pPr>
      <w:r>
        <w:rPr>
          <w:rFonts w:hint="eastAsia"/>
          <w:lang w:val="en-US" w:eastAsia="zh-CN"/>
        </w:rPr>
        <w:t>2.7.4.4 特定行业指南</w:t>
      </w:r>
    </w:p>
    <w:p>
      <w:pPr>
        <w:widowControl w:val="0"/>
        <w:numPr>
          <w:ilvl w:val="0"/>
          <w:numId w:val="0"/>
        </w:numPr>
        <w:spacing w:line="36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表6 特定行业生物多样性信息披露与评级指标要求</w:t>
      </w:r>
    </w:p>
    <w:tbl>
      <w:tblPr>
        <w:tblStyle w:val="24"/>
        <w:tblW w:w="81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1800"/>
        <w:gridCol w:w="1573"/>
        <w:gridCol w:w="2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2330" w:type="dxa"/>
          </w:tcPr>
          <w:p>
            <w:pPr>
              <w:spacing w:line="240" w:lineRule="auto"/>
              <w:jc w:val="center"/>
              <w:rPr>
                <w:rFonts w:hint="default" w:ascii="Times New Roman" w:hAnsi="Times New Roman" w:eastAsia="宋体"/>
                <w:b w:val="0"/>
                <w:bCs w:val="0"/>
                <w:sz w:val="18"/>
                <w:szCs w:val="18"/>
                <w:lang w:val="en-US" w:eastAsia="zh-CN"/>
              </w:rPr>
            </w:pPr>
          </w:p>
        </w:tc>
        <w:tc>
          <w:tcPr>
            <w:tcW w:w="180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披露框架</w:t>
            </w:r>
          </w:p>
        </w:tc>
        <w:tc>
          <w:tcPr>
            <w:tcW w:w="3991" w:type="dxa"/>
            <w:gridSpan w:val="2"/>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评级框架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2330" w:type="dxa"/>
          </w:tcPr>
          <w:p>
            <w:pPr>
              <w:spacing w:line="240" w:lineRule="auto"/>
              <w:jc w:val="center"/>
              <w:rPr>
                <w:rFonts w:hint="default" w:ascii="Times New Roman" w:hAnsi="Times New Roman" w:eastAsia="宋体"/>
                <w:b w:val="0"/>
                <w:bCs w:val="0"/>
                <w:sz w:val="18"/>
                <w:szCs w:val="18"/>
                <w:lang w:val="en-US" w:eastAsia="zh-CN"/>
              </w:rPr>
            </w:pPr>
          </w:p>
        </w:tc>
        <w:tc>
          <w:tcPr>
            <w:tcW w:w="180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IFRS</w:t>
            </w:r>
          </w:p>
        </w:tc>
        <w:tc>
          <w:tcPr>
            <w:tcW w:w="1573"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MSCI</w:t>
            </w:r>
          </w:p>
        </w:tc>
        <w:tc>
          <w:tcPr>
            <w:tcW w:w="2418"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CSA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233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建筑原材料</w:t>
            </w:r>
          </w:p>
        </w:tc>
        <w:tc>
          <w:tcPr>
            <w:tcW w:w="180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p>
            <w:pPr>
              <w:spacing w:line="240" w:lineRule="auto"/>
              <w:jc w:val="center"/>
              <w:rPr>
                <w:rFonts w:hint="default" w:ascii="Times New Roman" w:hAnsi="Times New Roman" w:eastAsia="宋体"/>
                <w:b w:val="0"/>
                <w:bCs w:val="0"/>
                <w:sz w:val="18"/>
                <w:szCs w:val="18"/>
                <w:lang w:val="en-US" w:eastAsia="zh-CN"/>
              </w:rPr>
            </w:pPr>
          </w:p>
        </w:tc>
        <w:tc>
          <w:tcPr>
            <w:tcW w:w="1573"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生物多样性与土地使用</w:t>
            </w:r>
          </w:p>
        </w:tc>
        <w:tc>
          <w:tcPr>
            <w:tcW w:w="2418"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生物多样性</w:t>
            </w:r>
          </w:p>
          <w:p>
            <w:pPr>
              <w:spacing w:line="240" w:lineRule="auto"/>
              <w:jc w:val="center"/>
              <w:rPr>
                <w:rFonts w:hint="default" w:ascii="Times New Roman" w:hAnsi="Times New Roman" w:eastAsia="宋体"/>
                <w:b w:val="0"/>
                <w:bCs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233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建筑部品产品</w:t>
            </w:r>
          </w:p>
        </w:tc>
        <w:tc>
          <w:tcPr>
            <w:tcW w:w="180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tc>
        <w:tc>
          <w:tcPr>
            <w:tcW w:w="1573"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tc>
        <w:tc>
          <w:tcPr>
            <w:tcW w:w="2418"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生物多样性</w:t>
            </w:r>
          </w:p>
        </w:tc>
      </w:tr>
    </w:tbl>
    <w:p>
      <w:pPr>
        <w:pStyle w:val="3"/>
        <w:spacing w:line="360" w:lineRule="auto"/>
        <w:rPr>
          <w:rFonts w:hint="eastAsia"/>
          <w:lang w:val="en-US" w:eastAsia="zh-CN"/>
        </w:rPr>
      </w:pPr>
      <w:r>
        <w:rPr>
          <w:rFonts w:hint="eastAsia"/>
        </w:rPr>
        <w:t>2.</w:t>
      </w:r>
      <w:r>
        <w:rPr>
          <w:rFonts w:hint="default"/>
        </w:rPr>
        <w:t>8</w:t>
      </w:r>
      <w:r>
        <w:rPr>
          <w:rFonts w:hint="eastAsia"/>
        </w:rPr>
        <w:t xml:space="preserve"> </w:t>
      </w:r>
      <w:r>
        <w:rPr>
          <w:rFonts w:hint="eastAsia"/>
          <w:lang w:val="en-US" w:eastAsia="zh-CN"/>
        </w:rPr>
        <w:t>社会</w:t>
      </w:r>
    </w:p>
    <w:p>
      <w:pPr>
        <w:spacing w:line="360" w:lineRule="auto"/>
        <w:ind w:firstLine="480"/>
        <w:rPr>
          <w:rFonts w:hint="eastAsia" w:cs="Times New Roman"/>
          <w:sz w:val="24"/>
          <w:szCs w:val="24"/>
          <w:lang w:val="en-US" w:eastAsia="zh-CN"/>
        </w:rPr>
      </w:pPr>
      <w:r>
        <w:rPr>
          <w:rFonts w:hint="eastAsia" w:cs="Times New Roman"/>
          <w:sz w:val="24"/>
          <w:szCs w:val="24"/>
          <w:lang w:val="en-US" w:eastAsia="zh-CN"/>
        </w:rPr>
        <w:t>本章节给出了社会主题下职业健康和工作条件、劳动关系和职业发展、产品责任、供应链管理、社区影响5个议题的披露指标及披露要求。每个议题从议题描述以及报告路径（即战略、目标、指标、举措）对披露指标以及要求展开具体描述。</w:t>
      </w:r>
    </w:p>
    <w:p>
      <w:pPr>
        <w:pStyle w:val="4"/>
        <w:rPr>
          <w:rFonts w:hint="eastAsia"/>
          <w:lang w:val="en-US" w:eastAsia="zh-Hans"/>
        </w:rPr>
      </w:pPr>
      <w:r>
        <w:rPr>
          <w:rFonts w:hint="default"/>
          <w:lang w:eastAsia="zh-Hans"/>
        </w:rPr>
        <w:t>2</w:t>
      </w:r>
      <w:r>
        <w:rPr>
          <w:rFonts w:hint="eastAsia"/>
          <w:lang w:val="en-US" w:eastAsia="zh-Hans"/>
        </w:rPr>
        <w:t>.</w:t>
      </w:r>
      <w:r>
        <w:rPr>
          <w:rFonts w:hint="default"/>
          <w:lang w:eastAsia="zh-Hans"/>
        </w:rPr>
        <w:t>8</w:t>
      </w:r>
      <w:r>
        <w:rPr>
          <w:rFonts w:hint="eastAsia"/>
          <w:lang w:val="en-US" w:eastAsia="zh-Hans"/>
        </w:rPr>
        <w:t>.</w:t>
      </w:r>
      <w:r>
        <w:rPr>
          <w:rFonts w:hint="default"/>
          <w:lang w:eastAsia="zh-Hans"/>
        </w:rPr>
        <w:t>1</w:t>
      </w:r>
      <w:r>
        <w:rPr>
          <w:rFonts w:hint="eastAsia"/>
          <w:lang w:val="en-US" w:eastAsia="zh-Hans"/>
        </w:rPr>
        <w:t xml:space="preserve"> 职业健康和工作条件</w:t>
      </w:r>
    </w:p>
    <w:p>
      <w:pPr>
        <w:pStyle w:val="5"/>
        <w:rPr>
          <w:rFonts w:hint="eastAsia"/>
          <w:lang w:val="en-US" w:eastAsia="zh-CN"/>
        </w:rPr>
      </w:pPr>
      <w:r>
        <w:rPr>
          <w:rFonts w:hint="eastAsia"/>
          <w:lang w:val="en-US" w:eastAsia="zh-CN"/>
        </w:rPr>
        <w:t>2.8.1.1 披露项的设置</w:t>
      </w:r>
    </w:p>
    <w:p>
      <w:pPr>
        <w:ind w:firstLine="480" w:firstLineChars="200"/>
        <w:rPr>
          <w:rFonts w:ascii="宋体" w:hAnsi="宋体" w:eastAsia="宋体" w:cs="宋体"/>
          <w:sz w:val="24"/>
          <w:szCs w:val="24"/>
        </w:rPr>
      </w:pPr>
      <w:r>
        <w:rPr>
          <w:rFonts w:ascii="宋体" w:hAnsi="宋体" w:eastAsia="宋体" w:cs="宋体"/>
          <w:sz w:val="24"/>
          <w:szCs w:val="24"/>
        </w:rPr>
        <w:t>在建筑材料行业</w:t>
      </w:r>
      <w:r>
        <w:rPr>
          <w:rFonts w:hint="eastAsia" w:ascii="宋体" w:hAnsi="宋体" w:cs="宋体"/>
          <w:sz w:val="24"/>
          <w:szCs w:val="24"/>
          <w:lang w:val="en-US" w:eastAsia="zh-CN"/>
        </w:rPr>
        <w:t>中</w:t>
      </w:r>
      <w:r>
        <w:rPr>
          <w:rFonts w:ascii="宋体" w:hAnsi="宋体" w:eastAsia="宋体" w:cs="宋体"/>
          <w:sz w:val="24"/>
          <w:szCs w:val="24"/>
        </w:rPr>
        <w:t>，企业的成功</w:t>
      </w:r>
      <w:r>
        <w:rPr>
          <w:rFonts w:hint="eastAsia" w:ascii="宋体" w:hAnsi="宋体" w:cs="宋体"/>
          <w:sz w:val="24"/>
          <w:szCs w:val="24"/>
          <w:lang w:val="en-US" w:eastAsia="zh-CN"/>
        </w:rPr>
        <w:t>很大程度上</w:t>
      </w:r>
      <w:r>
        <w:rPr>
          <w:rFonts w:ascii="宋体" w:hAnsi="宋体" w:eastAsia="宋体" w:cs="宋体"/>
          <w:sz w:val="24"/>
          <w:szCs w:val="24"/>
        </w:rPr>
        <w:t>依赖于</w:t>
      </w:r>
      <w:r>
        <w:rPr>
          <w:rFonts w:hint="eastAsia" w:ascii="宋体" w:hAnsi="宋体" w:cs="宋体"/>
          <w:sz w:val="24"/>
          <w:szCs w:val="24"/>
          <w:lang w:val="en-US" w:eastAsia="zh-CN"/>
        </w:rPr>
        <w:t>能否</w:t>
      </w:r>
      <w:r>
        <w:rPr>
          <w:rFonts w:ascii="宋体" w:hAnsi="宋体" w:eastAsia="宋体" w:cs="宋体"/>
          <w:sz w:val="24"/>
          <w:szCs w:val="24"/>
        </w:rPr>
        <w:t>为员工提供安全和健康的工作环境。在ESG（环境、社会和治理）信息披露中，</w:t>
      </w:r>
      <w:r>
        <w:rPr>
          <w:rFonts w:hint="eastAsia" w:ascii="宋体" w:hAnsi="宋体" w:cs="宋体"/>
          <w:sz w:val="24"/>
          <w:szCs w:val="24"/>
          <w:lang w:eastAsia="zh-CN"/>
        </w:rPr>
        <w:t>“</w:t>
      </w:r>
      <w:r>
        <w:rPr>
          <w:rFonts w:ascii="宋体" w:hAnsi="宋体" w:eastAsia="宋体" w:cs="宋体"/>
          <w:sz w:val="24"/>
          <w:szCs w:val="24"/>
        </w:rPr>
        <w:t>工作条件和职业健康安全”议题是不可或缺的一环，因为它直接关系到员工福祉、生产效率，以及企业的社会责任和声誉</w:t>
      </w:r>
      <w:r>
        <w:rPr>
          <w:rFonts w:hint="eastAsia" w:ascii="宋体" w:hAnsi="宋体" w:cs="宋体"/>
          <w:sz w:val="24"/>
          <w:szCs w:val="24"/>
          <w:lang w:val="en-US" w:eastAsia="zh-CN"/>
        </w:rPr>
        <w:t>等内容</w:t>
      </w:r>
      <w:r>
        <w:rPr>
          <w:rFonts w:ascii="宋体" w:hAnsi="宋体" w:eastAsia="宋体" w:cs="宋体"/>
          <w:sz w:val="24"/>
          <w:szCs w:val="24"/>
        </w:rPr>
        <w:t>。通过在信息披露中强调“工作条件和职业健康安全”议题，建筑材料行业的企业不仅展现了对员工福祉的承诺，也反映了其深入了解如何通过保护其最宝贵的资产——员工，来增强企业的内在价值。这种关注和投资表明，企业不仅追求短期的经济利益，还关注长期的可持续发展和员工满意度。通过这些措施，企业能够在提高生产力、减少员工流失率和建立更强大的企业文化方面取得进展，从而在竞争激烈的市场中脱颖而出。</w:t>
      </w:r>
    </w:p>
    <w:p>
      <w:pPr>
        <w:ind w:firstLine="420" w:firstLineChars="0"/>
        <w:rPr>
          <w:rFonts w:ascii="宋体" w:hAnsi="宋体" w:eastAsia="宋体" w:cs="宋体"/>
          <w:color w:val="auto"/>
          <w:sz w:val="24"/>
          <w:szCs w:val="24"/>
        </w:rPr>
      </w:pPr>
      <w:r>
        <w:rPr>
          <w:rStyle w:val="26"/>
          <w:rFonts w:ascii="宋体" w:hAnsi="宋体" w:eastAsia="宋体" w:cs="宋体"/>
          <w:color w:val="auto"/>
          <w:sz w:val="24"/>
          <w:szCs w:val="24"/>
        </w:rPr>
        <w:t>职业健康安全</w:t>
      </w:r>
      <w:r>
        <w:rPr>
          <w:rFonts w:ascii="宋体" w:hAnsi="宋体" w:eastAsia="宋体" w:cs="宋体"/>
          <w:color w:val="auto"/>
          <w:sz w:val="24"/>
          <w:szCs w:val="24"/>
        </w:rPr>
        <w:t>：建筑材料行业</w:t>
      </w:r>
      <w:r>
        <w:rPr>
          <w:rFonts w:hint="eastAsia" w:ascii="宋体" w:hAnsi="宋体" w:cs="宋体"/>
          <w:color w:val="auto"/>
          <w:sz w:val="24"/>
          <w:szCs w:val="24"/>
          <w:lang w:val="en-US" w:eastAsia="zh-CN"/>
        </w:rPr>
        <w:t>企业</w:t>
      </w:r>
      <w:r>
        <w:rPr>
          <w:rFonts w:ascii="宋体" w:hAnsi="宋体" w:eastAsia="宋体" w:cs="宋体"/>
          <w:color w:val="auto"/>
          <w:sz w:val="24"/>
          <w:szCs w:val="24"/>
        </w:rPr>
        <w:t>的工作环境</w:t>
      </w:r>
      <w:r>
        <w:rPr>
          <w:rFonts w:hint="eastAsia" w:ascii="宋体" w:hAnsi="宋体" w:cs="宋体"/>
          <w:color w:val="auto"/>
          <w:sz w:val="24"/>
          <w:szCs w:val="24"/>
          <w:lang w:val="en-US" w:eastAsia="zh-CN"/>
        </w:rPr>
        <w:t>可能存在</w:t>
      </w:r>
      <w:r>
        <w:rPr>
          <w:rFonts w:ascii="宋体" w:hAnsi="宋体" w:eastAsia="宋体" w:cs="宋体"/>
          <w:color w:val="auto"/>
          <w:sz w:val="24"/>
          <w:szCs w:val="24"/>
        </w:rPr>
        <w:t>风险，包括重物搬运、有毒物质接触、高温工作条件等，这些都可能对员工的健康构成威胁。企业需要披露其职业健康安全的政策、事故率、培训计划以及应对措施，这</w:t>
      </w:r>
      <w:r>
        <w:rPr>
          <w:rFonts w:hint="eastAsia" w:ascii="宋体" w:hAnsi="宋体" w:cs="宋体"/>
          <w:color w:val="auto"/>
          <w:sz w:val="24"/>
          <w:szCs w:val="24"/>
          <w:lang w:val="en-US" w:eastAsia="zh-CN"/>
        </w:rPr>
        <w:t>些</w:t>
      </w:r>
      <w:r>
        <w:rPr>
          <w:rFonts w:ascii="宋体" w:hAnsi="宋体" w:eastAsia="宋体" w:cs="宋体"/>
          <w:color w:val="auto"/>
          <w:sz w:val="24"/>
          <w:szCs w:val="24"/>
        </w:rPr>
        <w:t>有助于利益相关者了解企业如何保护员工免受伤害，并展示企业对改善工作条件的承诺。这种透明度不仅</w:t>
      </w:r>
      <w:r>
        <w:rPr>
          <w:rFonts w:hint="eastAsia" w:ascii="宋体" w:hAnsi="宋体" w:cs="宋体"/>
          <w:color w:val="auto"/>
          <w:sz w:val="24"/>
          <w:szCs w:val="24"/>
          <w:lang w:val="en-US" w:eastAsia="zh-CN"/>
        </w:rPr>
        <w:t>可以有效</w:t>
      </w:r>
      <w:r>
        <w:rPr>
          <w:rFonts w:ascii="宋体" w:hAnsi="宋体" w:eastAsia="宋体" w:cs="宋体"/>
          <w:color w:val="auto"/>
          <w:sz w:val="24"/>
          <w:szCs w:val="24"/>
        </w:rPr>
        <w:t>建立员工信任，还能提高员工的工作满意度和生产力，同时减少工伤事故和相关成本。</w:t>
      </w:r>
    </w:p>
    <w:p>
      <w:pPr>
        <w:ind w:firstLine="420" w:firstLineChars="0"/>
        <w:rPr>
          <w:rFonts w:ascii="宋体" w:hAnsi="宋体" w:eastAsia="宋体" w:cs="宋体"/>
          <w:sz w:val="21"/>
          <w:szCs w:val="21"/>
        </w:rPr>
      </w:pPr>
      <w:r>
        <w:rPr>
          <w:rStyle w:val="26"/>
          <w:rFonts w:ascii="宋体" w:hAnsi="宋体" w:eastAsia="宋体" w:cs="宋体"/>
          <w:sz w:val="24"/>
          <w:szCs w:val="24"/>
        </w:rPr>
        <w:t>工作</w:t>
      </w:r>
      <w:r>
        <w:rPr>
          <w:rStyle w:val="26"/>
          <w:rFonts w:hint="eastAsia" w:ascii="宋体" w:hAnsi="宋体" w:cs="宋体"/>
          <w:sz w:val="24"/>
          <w:szCs w:val="24"/>
          <w:lang w:val="en-US" w:eastAsia="zh-CN"/>
        </w:rPr>
        <w:t>条件</w:t>
      </w:r>
      <w:r>
        <w:rPr>
          <w:rFonts w:hint="eastAsia" w:ascii="宋体" w:hAnsi="宋体" w:cs="宋体"/>
          <w:sz w:val="21"/>
          <w:szCs w:val="21"/>
          <w:lang w:eastAsia="zh-CN"/>
        </w:rPr>
        <w:t>：</w:t>
      </w:r>
      <w:r>
        <w:rPr>
          <w:rFonts w:ascii="宋体" w:hAnsi="宋体" w:eastAsia="宋体" w:cs="宋体"/>
          <w:sz w:val="24"/>
          <w:szCs w:val="24"/>
        </w:rPr>
        <w:t>除了物理安全外，员工的心理健康和工作满意度也是企业成功的关键。一个支持性和健康的工作环境可以提高员工的幸福感</w:t>
      </w:r>
      <w:r>
        <w:rPr>
          <w:rFonts w:hint="eastAsia" w:ascii="宋体" w:hAnsi="宋体" w:cs="宋体"/>
          <w:sz w:val="24"/>
          <w:szCs w:val="24"/>
          <w:lang w:val="en-US" w:eastAsia="zh-CN"/>
        </w:rPr>
        <w:t>与</w:t>
      </w:r>
      <w:r>
        <w:rPr>
          <w:rFonts w:ascii="宋体" w:hAnsi="宋体" w:eastAsia="宋体" w:cs="宋体"/>
          <w:sz w:val="24"/>
          <w:szCs w:val="24"/>
        </w:rPr>
        <w:t>效率。</w:t>
      </w:r>
    </w:p>
    <w:p>
      <w:pPr>
        <w:pStyle w:val="5"/>
        <w:rPr>
          <w:rFonts w:hint="eastAsia"/>
          <w:lang w:val="en-US" w:eastAsia="zh-CN"/>
        </w:rPr>
      </w:pPr>
      <w:r>
        <w:rPr>
          <w:rFonts w:hint="eastAsia"/>
          <w:lang w:val="en-US" w:eastAsia="zh-CN"/>
        </w:rPr>
        <w:t>2.8.1.2 指标的选取</w:t>
      </w:r>
    </w:p>
    <w:p>
      <w:pPr>
        <w:ind w:firstLine="420" w:firstLineChars="0"/>
        <w:rPr>
          <w:rFonts w:hint="default" w:ascii="Times New Roman" w:hAnsi="Times New Roman" w:eastAsia="宋体"/>
          <w:b/>
          <w:bCs/>
          <w:highlight w:val="none"/>
          <w:lang w:val="en-US" w:eastAsia="zh-CN"/>
        </w:rPr>
      </w:pPr>
      <w:r>
        <w:rPr>
          <w:rFonts w:hint="eastAsia" w:cs="Times New Roman"/>
          <w:sz w:val="24"/>
          <w:szCs w:val="24"/>
          <w:lang w:val="en-US" w:eastAsia="zh-CN"/>
        </w:rPr>
        <w:t>将本文件议题下的专题披露项（即标题所指的指标）对照IFRS、ESRS、国证ESG、GRI、港交所的ESG信息披露框架，旨在说明该指标的主流披露框架覆盖率、适用性以及其科学合理性。</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630"/>
        <w:gridCol w:w="1480"/>
        <w:gridCol w:w="1476"/>
        <w:gridCol w:w="1387"/>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p>
        </w:tc>
        <w:tc>
          <w:tcPr>
            <w:tcW w:w="2654" w:type="dxa"/>
          </w:tcPr>
          <w:p>
            <w:pPr>
              <w:spacing w:line="240" w:lineRule="auto"/>
              <w:jc w:val="center"/>
              <w:rPr>
                <w:rFonts w:hint="default" w:ascii="Times New Roman" w:hAnsi="Times New Roman" w:eastAsia="宋体"/>
                <w:b w:val="0"/>
                <w:bCs w:val="0"/>
                <w:sz w:val="18"/>
                <w:szCs w:val="18"/>
                <w:lang w:val="en-US" w:eastAsia="zh-CN"/>
              </w:rPr>
            </w:pPr>
            <w:r>
              <w:rPr>
                <w:rFonts w:hint="default" w:ascii="Times New Roman" w:hAnsi="Times New Roman" w:eastAsia="宋体"/>
                <w:b w:val="0"/>
                <w:bCs w:val="0"/>
                <w:sz w:val="18"/>
                <w:szCs w:val="18"/>
                <w:lang w:val="en-US" w:eastAsia="zh-CN"/>
              </w:rPr>
              <w:t>IFRS</w:t>
            </w:r>
          </w:p>
        </w:tc>
        <w:tc>
          <w:tcPr>
            <w:tcW w:w="230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ESRS</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国证ESG</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港交所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职业健康安全</w:t>
            </w:r>
          </w:p>
        </w:tc>
        <w:tc>
          <w:tcPr>
            <w:tcW w:w="2654" w:type="dxa"/>
          </w:tcPr>
          <w:p>
            <w:pPr>
              <w:spacing w:line="240" w:lineRule="auto"/>
              <w:jc w:val="center"/>
              <w:rPr>
                <w:rFonts w:hint="default" w:ascii="Times New Roman" w:hAnsi="Times New Roman" w:eastAsia="宋体"/>
                <w:b w:val="0"/>
                <w:bCs w:val="0"/>
                <w:sz w:val="18"/>
                <w:szCs w:val="18"/>
                <w:lang w:val="en-US" w:eastAsia="zh-CN"/>
              </w:rPr>
            </w:pPr>
          </w:p>
        </w:tc>
        <w:tc>
          <w:tcPr>
            <w:tcW w:w="2306"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披露要求S1 自身劳动力</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5 与管理重大负面影响、推进积极影响以及管理重大风险和机遇相关的目标</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6 企业员工特点</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7 非直接雇员员工的特点</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11 社会保护</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12 残疾人</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14 健康与安全指标</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员工-健康与安全保障</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403 职业健康与安全</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工作环境质素-健康与安全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工作环境</w:t>
            </w:r>
          </w:p>
        </w:tc>
        <w:tc>
          <w:tcPr>
            <w:tcW w:w="2654" w:type="dxa"/>
          </w:tcPr>
          <w:p>
            <w:pPr>
              <w:spacing w:line="240" w:lineRule="auto"/>
              <w:jc w:val="center"/>
              <w:rPr>
                <w:rFonts w:hint="default" w:ascii="Times New Roman" w:hAnsi="Times New Roman" w:eastAsia="宋体"/>
                <w:b w:val="0"/>
                <w:bCs w:val="0"/>
                <w:sz w:val="18"/>
                <w:szCs w:val="18"/>
                <w:lang w:val="en-US" w:eastAsia="zh-CN"/>
              </w:rPr>
            </w:pPr>
          </w:p>
        </w:tc>
        <w:tc>
          <w:tcPr>
            <w:tcW w:w="2306"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披露要求S1 自身劳动力</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5 与管理重大负面影响、推进积极影响以及管理重大风险和机遇相关的目标</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6 企业员工特点</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7 非直接雇员员工的特点</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11 社会保护</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12 残疾人</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14 健康与安全指标</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15 工作生活平衡</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员工-员工管理与福利</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403 职业健康与安全</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工作环境质素-工作环境</w:t>
            </w:r>
          </w:p>
        </w:tc>
      </w:tr>
    </w:tbl>
    <w:p>
      <w:pPr>
        <w:pStyle w:val="5"/>
        <w:rPr>
          <w:rFonts w:hint="eastAsia"/>
          <w:lang w:val="en-US" w:eastAsia="zh-CN"/>
        </w:rPr>
      </w:pPr>
      <w:r>
        <w:rPr>
          <w:rFonts w:hint="eastAsia"/>
          <w:lang w:val="en-US" w:eastAsia="zh-CN"/>
        </w:rPr>
        <w:t>2.8.1.3 战略、目标与举措</w:t>
      </w:r>
    </w:p>
    <w:p>
      <w:pPr>
        <w:ind w:firstLine="420" w:firstLineChars="0"/>
        <w:rPr>
          <w:rFonts w:hint="eastAsia"/>
          <w:lang w:val="en-US" w:eastAsia="zh-CN"/>
        </w:rPr>
      </w:pPr>
      <w:r>
        <w:rPr>
          <w:rFonts w:hint="eastAsia" w:cs="Times New Roman"/>
          <w:sz w:val="24"/>
          <w:szCs w:val="24"/>
          <w:lang w:val="en-US" w:eastAsia="zh-CN"/>
        </w:rPr>
        <w:t>具体到职业健康安全和工作条件议题。就企业自身业态而言，由于建筑材料行业</w:t>
      </w:r>
      <w:r>
        <w:rPr>
          <w:rFonts w:hint="eastAsia"/>
          <w:lang w:val="en-US" w:eastAsia="zh-CN"/>
        </w:rPr>
        <w:t>生产过程具有碳密集、高废气排放与高废料产生的特性，员工职业健康安全风险较高。就外部环境而言，企业为保障职业健康安全管理体系有序运行以及保障良好的工作条件，需投入大量人力物力财力，间接增加了产品成本，对公司产品的竞争力和价格都产生比较大的压力，市场风险比较大。然而，完善的职业健康安全管理与良好的工作条件，增强了员工向心力，有利于企业各项管理制度的推行以及生产经营效率。因而对于建筑材料企业来说，应根据企业自身状况，选择WO战略或WT战略。建筑材料企业需采取有力举措，提供健康与安全的工作条件，保障员工职业健康安全。</w:t>
      </w:r>
      <w:r>
        <w:rPr>
          <w:rFonts w:hint="eastAsia"/>
          <w:szCs w:val="32"/>
        </w:rPr>
        <w:t>企业宜保障员工的工作条件与</w:t>
      </w:r>
      <w:r>
        <w:rPr>
          <w:rFonts w:hint="eastAsia" w:cs="Times New Roman"/>
          <w:color w:val="000000"/>
          <w:kern w:val="0"/>
        </w:rPr>
        <w:t>职业健康安全，预防因工作条件而引起的健康损害，通过适宜的措施（如提升自动化水平等），减少高风险及恶劣环境的岗位设置或降低相关岗位劳动时间，最大限度保护员工远离健康风险，使职业环境适应员工的生理和</w:t>
      </w:r>
      <w:r>
        <w:rPr>
          <w:rFonts w:hint="eastAsia" w:cs="Times New Roman"/>
          <w:color w:val="000000"/>
          <w:kern w:val="0"/>
          <w:lang w:val="en-US" w:eastAsia="zh-CN"/>
        </w:rPr>
        <w:t>心理</w:t>
      </w:r>
      <w:r>
        <w:rPr>
          <w:rFonts w:hint="eastAsia" w:cs="Times New Roman"/>
          <w:color w:val="000000"/>
          <w:kern w:val="0"/>
        </w:rPr>
        <w:t>需要。</w:t>
      </w:r>
    </w:p>
    <w:p>
      <w:pPr>
        <w:pStyle w:val="5"/>
        <w:rPr>
          <w:rFonts w:hint="default"/>
          <w:lang w:val="en-US" w:eastAsia="zh-CN"/>
        </w:rPr>
      </w:pPr>
      <w:r>
        <w:rPr>
          <w:rFonts w:hint="eastAsia"/>
          <w:lang w:val="en-US" w:eastAsia="zh-CN"/>
        </w:rPr>
        <w:t>2.8.1.4 特定行业指南</w:t>
      </w:r>
    </w:p>
    <w:p>
      <w:pPr>
        <w:widowControl w:val="0"/>
        <w:numPr>
          <w:ilvl w:val="0"/>
          <w:numId w:val="0"/>
        </w:numPr>
        <w:spacing w:line="36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表7 特定行业职业健康安全和工作条件信息披露与评级指标要求</w:t>
      </w:r>
    </w:p>
    <w:tbl>
      <w:tblPr>
        <w:tblStyle w:val="24"/>
        <w:tblW w:w="87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7"/>
        <w:gridCol w:w="2044"/>
        <w:gridCol w:w="2461"/>
        <w:gridCol w:w="2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777" w:type="dxa"/>
          </w:tcPr>
          <w:p>
            <w:pPr>
              <w:spacing w:line="240" w:lineRule="auto"/>
              <w:jc w:val="center"/>
              <w:rPr>
                <w:rFonts w:hint="default" w:ascii="Times New Roman" w:hAnsi="Times New Roman" w:eastAsia="宋体"/>
                <w:b w:val="0"/>
                <w:bCs w:val="0"/>
                <w:sz w:val="18"/>
                <w:szCs w:val="18"/>
                <w:lang w:val="en-US" w:eastAsia="zh-CN"/>
              </w:rPr>
            </w:pPr>
          </w:p>
        </w:tc>
        <w:tc>
          <w:tcPr>
            <w:tcW w:w="204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披露框架</w:t>
            </w:r>
          </w:p>
        </w:tc>
        <w:tc>
          <w:tcPr>
            <w:tcW w:w="4880" w:type="dxa"/>
            <w:gridSpan w:val="2"/>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评级框架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7" w:type="dxa"/>
          </w:tcPr>
          <w:p>
            <w:pPr>
              <w:spacing w:line="240" w:lineRule="auto"/>
              <w:jc w:val="center"/>
              <w:rPr>
                <w:rFonts w:hint="default" w:ascii="Times New Roman" w:hAnsi="Times New Roman" w:eastAsia="宋体"/>
                <w:b w:val="0"/>
                <w:bCs w:val="0"/>
                <w:sz w:val="18"/>
                <w:szCs w:val="18"/>
                <w:lang w:val="en-US" w:eastAsia="zh-CN"/>
              </w:rPr>
            </w:pPr>
          </w:p>
        </w:tc>
        <w:tc>
          <w:tcPr>
            <w:tcW w:w="204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IFRS</w:t>
            </w:r>
          </w:p>
        </w:tc>
        <w:tc>
          <w:tcPr>
            <w:tcW w:w="2461"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MSCI</w:t>
            </w:r>
          </w:p>
        </w:tc>
        <w:tc>
          <w:tcPr>
            <w:tcW w:w="241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CSA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77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建筑原材料</w:t>
            </w:r>
          </w:p>
        </w:tc>
        <w:tc>
          <w:tcPr>
            <w:tcW w:w="204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tc>
        <w:tc>
          <w:tcPr>
            <w:tcW w:w="2461"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健康&amp;安全</w:t>
            </w:r>
          </w:p>
        </w:tc>
        <w:tc>
          <w:tcPr>
            <w:tcW w:w="241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职业健康安全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77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建筑部品产品</w:t>
            </w:r>
          </w:p>
        </w:tc>
        <w:tc>
          <w:tcPr>
            <w:tcW w:w="204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p>
            <w:pPr>
              <w:spacing w:line="240" w:lineRule="auto"/>
              <w:jc w:val="center"/>
              <w:rPr>
                <w:rFonts w:hint="default" w:ascii="Times New Roman" w:hAnsi="Times New Roman" w:eastAsia="宋体"/>
                <w:b w:val="0"/>
                <w:bCs w:val="0"/>
                <w:sz w:val="18"/>
                <w:szCs w:val="18"/>
                <w:lang w:val="en-US" w:eastAsia="zh-CN"/>
              </w:rPr>
            </w:pPr>
          </w:p>
        </w:tc>
        <w:tc>
          <w:tcPr>
            <w:tcW w:w="2461"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健康&amp;安全</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化学品健康性</w:t>
            </w:r>
          </w:p>
        </w:tc>
        <w:tc>
          <w:tcPr>
            <w:tcW w:w="2419"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职业健康安全</w:t>
            </w:r>
          </w:p>
          <w:p>
            <w:pPr>
              <w:spacing w:line="240" w:lineRule="auto"/>
              <w:jc w:val="center"/>
              <w:rPr>
                <w:rFonts w:hint="default" w:ascii="Times New Roman" w:hAnsi="Times New Roman" w:eastAsia="宋体"/>
                <w:b w:val="0"/>
                <w:bCs w:val="0"/>
                <w:sz w:val="18"/>
                <w:szCs w:val="18"/>
                <w:lang w:val="en-US" w:eastAsia="zh-CN"/>
              </w:rPr>
            </w:pPr>
          </w:p>
        </w:tc>
      </w:tr>
    </w:tbl>
    <w:p>
      <w:pPr>
        <w:rPr>
          <w:rFonts w:hint="eastAsia"/>
          <w:highlight w:val="yellow"/>
          <w:lang w:val="en-US" w:eastAsia="zh-CN"/>
        </w:rPr>
      </w:pPr>
    </w:p>
    <w:p>
      <w:pPr>
        <w:pStyle w:val="4"/>
        <w:rPr>
          <w:rFonts w:hint="eastAsia"/>
          <w:lang w:val="en-US" w:eastAsia="zh-CN"/>
        </w:rPr>
      </w:pPr>
      <w:r>
        <w:rPr>
          <w:rFonts w:hint="default"/>
          <w:lang w:eastAsia="zh-Hans"/>
        </w:rPr>
        <w:t>2</w:t>
      </w:r>
      <w:r>
        <w:rPr>
          <w:rFonts w:hint="eastAsia"/>
          <w:lang w:val="en-US" w:eastAsia="zh-Hans"/>
        </w:rPr>
        <w:t>.</w:t>
      </w:r>
      <w:r>
        <w:rPr>
          <w:rFonts w:hint="default"/>
          <w:lang w:eastAsia="zh-Hans"/>
        </w:rPr>
        <w:t>8</w:t>
      </w:r>
      <w:r>
        <w:rPr>
          <w:rFonts w:hint="eastAsia"/>
          <w:lang w:val="en-US" w:eastAsia="zh-Hans"/>
        </w:rPr>
        <w:t>.</w:t>
      </w:r>
      <w:r>
        <w:rPr>
          <w:rFonts w:hint="eastAsia"/>
          <w:lang w:val="en-US" w:eastAsia="zh-CN"/>
        </w:rPr>
        <w:t>2</w:t>
      </w:r>
      <w:r>
        <w:rPr>
          <w:rFonts w:hint="eastAsia"/>
          <w:lang w:val="en-US" w:eastAsia="zh-Hans"/>
        </w:rPr>
        <w:t xml:space="preserve"> </w:t>
      </w:r>
      <w:r>
        <w:rPr>
          <w:rFonts w:hint="eastAsia"/>
          <w:lang w:val="en-US" w:eastAsia="zh-CN"/>
        </w:rPr>
        <w:t>劳动关系和职业发展</w:t>
      </w:r>
    </w:p>
    <w:p>
      <w:pPr>
        <w:pStyle w:val="5"/>
        <w:rPr>
          <w:rFonts w:hint="eastAsia"/>
          <w:lang w:val="en-US" w:eastAsia="zh-CN"/>
        </w:rPr>
      </w:pPr>
      <w:r>
        <w:rPr>
          <w:rFonts w:hint="eastAsia"/>
          <w:lang w:val="en-US" w:eastAsia="zh-CN"/>
        </w:rPr>
        <w:t>2.8.2.1 披露项的设置</w:t>
      </w:r>
    </w:p>
    <w:p>
      <w:pPr>
        <w:numPr>
          <w:ilvl w:val="0"/>
          <w:numId w:val="0"/>
        </w:numPr>
        <w:ind w:firstLine="480"/>
        <w:rPr>
          <w:rFonts w:hint="eastAsia" w:ascii="宋体" w:hAnsi="宋体" w:eastAsia="宋体" w:cs="宋体"/>
          <w:sz w:val="24"/>
          <w:szCs w:val="24"/>
          <w:lang w:val="en-US" w:eastAsia="zh-CN"/>
        </w:rPr>
      </w:pPr>
      <w:r>
        <w:rPr>
          <w:rFonts w:ascii="宋体" w:hAnsi="宋体" w:eastAsia="宋体" w:cs="宋体"/>
          <w:sz w:val="24"/>
          <w:szCs w:val="24"/>
        </w:rPr>
        <w:t>"劳动关系和职业发展"是企业社会责任和员工福祉的核心议题</w:t>
      </w:r>
      <w:r>
        <w:rPr>
          <w:rFonts w:hint="eastAsia" w:ascii="宋体" w:hAnsi="宋体" w:cs="宋体"/>
          <w:sz w:val="24"/>
          <w:szCs w:val="24"/>
          <w:lang w:val="en-US" w:eastAsia="zh-CN"/>
        </w:rPr>
        <w:t>之一，</w:t>
      </w:r>
      <w:r>
        <w:rPr>
          <w:rFonts w:ascii="宋体" w:hAnsi="宋体" w:eastAsia="宋体" w:cs="宋体"/>
          <w:sz w:val="24"/>
          <w:szCs w:val="24"/>
        </w:rPr>
        <w:t>这一议题对于吸引和保留人才、维护员工满意度和提高生产力至关重要。通过“劳动关系和职业发展”议题</w:t>
      </w:r>
      <w:r>
        <w:rPr>
          <w:rFonts w:hint="eastAsia" w:ascii="宋体" w:hAnsi="宋体" w:cs="宋体"/>
          <w:sz w:val="24"/>
          <w:szCs w:val="24"/>
          <w:lang w:eastAsia="zh-CN"/>
        </w:rPr>
        <w:t>，</w:t>
      </w:r>
      <w:r>
        <w:rPr>
          <w:rFonts w:ascii="宋体" w:hAnsi="宋体" w:eastAsia="宋体" w:cs="宋体"/>
          <w:sz w:val="24"/>
          <w:szCs w:val="24"/>
        </w:rPr>
        <w:t>企业展现了其对员工的承诺和对建设积极工作环境的重视。这种透明度和责任感不仅增强了员工的归属感和忠诚度，还提高了企业的社会声誉和吸引力。长期而言，这将促进企业的可持续发展，使其能够在不断变化的市场环境中保持韧性和竞争力。</w:t>
      </w:r>
    </w:p>
    <w:p>
      <w:pPr>
        <w:ind w:firstLine="480" w:firstLineChars="200"/>
        <w:rPr>
          <w:rFonts w:hint="eastAsia" w:eastAsia="宋体"/>
          <w:lang w:val="en-US" w:eastAsia="zh-CN"/>
        </w:rPr>
      </w:pPr>
      <w:r>
        <w:rPr>
          <w:rFonts w:hint="eastAsia" w:ascii="宋体" w:hAnsi="宋体" w:cs="宋体"/>
          <w:sz w:val="24"/>
          <w:szCs w:val="24"/>
          <w:lang w:val="en-US" w:eastAsia="zh-CN"/>
        </w:rPr>
        <w:t>在</w:t>
      </w:r>
      <w:r>
        <w:rPr>
          <w:rFonts w:ascii="宋体" w:hAnsi="宋体" w:eastAsia="宋体" w:cs="宋体"/>
          <w:sz w:val="24"/>
          <w:szCs w:val="24"/>
        </w:rPr>
        <w:t>“</w:t>
      </w:r>
      <w:r>
        <w:rPr>
          <w:rFonts w:hint="eastAsia" w:ascii="宋体" w:hAnsi="宋体" w:cs="宋体"/>
          <w:sz w:val="24"/>
          <w:szCs w:val="24"/>
          <w:lang w:val="en-US" w:eastAsia="zh-CN"/>
        </w:rPr>
        <w:t>劳动关系和职业发展</w:t>
      </w:r>
      <w:r>
        <w:rPr>
          <w:rFonts w:ascii="宋体" w:hAnsi="宋体" w:eastAsia="宋体" w:cs="宋体"/>
          <w:sz w:val="24"/>
          <w:szCs w:val="24"/>
        </w:rPr>
        <w:t>”议题</w:t>
      </w:r>
      <w:r>
        <w:rPr>
          <w:rFonts w:hint="eastAsia" w:ascii="宋体" w:hAnsi="宋体" w:cs="宋体"/>
          <w:sz w:val="24"/>
          <w:szCs w:val="24"/>
          <w:lang w:val="en-US" w:eastAsia="zh-CN"/>
        </w:rPr>
        <w:t>下设置</w:t>
      </w:r>
      <w:r>
        <w:rPr>
          <w:rFonts w:ascii="宋体" w:hAnsi="宋体" w:eastAsia="宋体" w:cs="宋体"/>
          <w:sz w:val="24"/>
          <w:szCs w:val="24"/>
        </w:rPr>
        <w:t>“</w:t>
      </w:r>
      <w:r>
        <w:rPr>
          <w:rFonts w:hint="eastAsia" w:ascii="宋体" w:hAnsi="宋体" w:cs="宋体"/>
          <w:sz w:val="24"/>
          <w:szCs w:val="24"/>
          <w:lang w:val="en-US" w:eastAsia="zh-CN"/>
        </w:rPr>
        <w:t>雇佣</w:t>
      </w:r>
      <w:r>
        <w:rPr>
          <w:rFonts w:ascii="宋体" w:hAnsi="宋体" w:eastAsia="宋体" w:cs="宋体"/>
          <w:sz w:val="24"/>
          <w:szCs w:val="24"/>
        </w:rPr>
        <w:t>”“</w:t>
      </w:r>
      <w:r>
        <w:rPr>
          <w:rFonts w:hint="eastAsia" w:ascii="宋体" w:hAnsi="宋体" w:cs="宋体"/>
          <w:sz w:val="24"/>
          <w:szCs w:val="24"/>
          <w:lang w:val="en-US" w:eastAsia="zh-CN"/>
        </w:rPr>
        <w:t>员工管理</w:t>
      </w:r>
      <w:r>
        <w:rPr>
          <w:rFonts w:ascii="宋体" w:hAnsi="宋体" w:eastAsia="宋体" w:cs="宋体"/>
          <w:sz w:val="24"/>
          <w:szCs w:val="24"/>
        </w:rPr>
        <w:t>”</w:t>
      </w:r>
      <w:r>
        <w:rPr>
          <w:rFonts w:hint="eastAsia" w:ascii="宋体" w:hAnsi="宋体" w:cs="宋体"/>
          <w:sz w:val="24"/>
          <w:szCs w:val="24"/>
          <w:lang w:eastAsia="zh-CN"/>
        </w:rPr>
        <w:t>“</w:t>
      </w:r>
      <w:r>
        <w:rPr>
          <w:rFonts w:hint="eastAsia" w:ascii="宋体" w:hAnsi="宋体" w:cs="宋体"/>
          <w:sz w:val="24"/>
          <w:szCs w:val="24"/>
          <w:lang w:val="en-US" w:eastAsia="zh-CN"/>
        </w:rPr>
        <w:t>员工可持续发展</w:t>
      </w:r>
      <w:r>
        <w:rPr>
          <w:rFonts w:hint="eastAsia" w:ascii="宋体" w:hAnsi="宋体" w:cs="宋体"/>
          <w:sz w:val="24"/>
          <w:szCs w:val="24"/>
          <w:lang w:eastAsia="zh-CN"/>
        </w:rPr>
        <w:t>”</w:t>
      </w:r>
      <w:r>
        <w:rPr>
          <w:rFonts w:hint="eastAsia" w:ascii="宋体" w:hAnsi="宋体" w:cs="宋体"/>
          <w:sz w:val="24"/>
          <w:szCs w:val="24"/>
          <w:lang w:val="en-US" w:eastAsia="zh-CN"/>
        </w:rPr>
        <w:t>三个披露项。</w:t>
      </w:r>
    </w:p>
    <w:p>
      <w:pPr>
        <w:numPr>
          <w:ilvl w:val="0"/>
          <w:numId w:val="0"/>
        </w:numPr>
        <w:ind w:firstLine="480"/>
        <w:rPr>
          <w:rFonts w:ascii="宋体" w:hAnsi="宋体" w:eastAsia="宋体" w:cs="宋体"/>
          <w:sz w:val="24"/>
          <w:szCs w:val="24"/>
        </w:rPr>
      </w:pPr>
      <w:r>
        <w:rPr>
          <w:rStyle w:val="26"/>
          <w:rFonts w:ascii="宋体" w:hAnsi="宋体" w:eastAsia="宋体" w:cs="宋体"/>
          <w:sz w:val="24"/>
          <w:szCs w:val="24"/>
        </w:rPr>
        <w:t>雇佣</w:t>
      </w:r>
      <w:r>
        <w:rPr>
          <w:rFonts w:ascii="宋体" w:hAnsi="宋体" w:eastAsia="宋体" w:cs="宋体"/>
          <w:sz w:val="24"/>
          <w:szCs w:val="24"/>
        </w:rPr>
        <w:t>：合格的员工是企业成功的关键。因此，公平</w:t>
      </w:r>
      <w:r>
        <w:rPr>
          <w:rFonts w:hint="eastAsia" w:ascii="宋体" w:hAnsi="宋体" w:cs="宋体"/>
          <w:sz w:val="24"/>
          <w:szCs w:val="24"/>
          <w:lang w:val="en-US" w:eastAsia="zh-CN"/>
        </w:rPr>
        <w:t>与</w:t>
      </w:r>
      <w:r>
        <w:rPr>
          <w:rFonts w:ascii="宋体" w:hAnsi="宋体" w:eastAsia="宋体" w:cs="宋体"/>
          <w:sz w:val="24"/>
          <w:szCs w:val="24"/>
        </w:rPr>
        <w:t>透明的雇佣</w:t>
      </w:r>
      <w:r>
        <w:rPr>
          <w:rFonts w:hint="eastAsia" w:ascii="宋体" w:hAnsi="宋体" w:cs="宋体"/>
          <w:sz w:val="24"/>
          <w:szCs w:val="24"/>
          <w:lang w:val="en-US" w:eastAsia="zh-CN"/>
        </w:rPr>
        <w:t>政策</w:t>
      </w:r>
      <w:r>
        <w:rPr>
          <w:rFonts w:ascii="宋体" w:hAnsi="宋体" w:eastAsia="宋体" w:cs="宋体"/>
          <w:sz w:val="24"/>
          <w:szCs w:val="24"/>
        </w:rPr>
        <w:t>不仅能确保企业遵守劳动法规，</w:t>
      </w:r>
      <w:r>
        <w:rPr>
          <w:rFonts w:hint="eastAsia" w:ascii="宋体" w:hAnsi="宋体" w:cs="宋体"/>
          <w:sz w:val="24"/>
          <w:szCs w:val="24"/>
          <w:lang w:val="en-US" w:eastAsia="zh-CN"/>
        </w:rPr>
        <w:t>也</w:t>
      </w:r>
      <w:r>
        <w:rPr>
          <w:rFonts w:ascii="宋体" w:hAnsi="宋体" w:eastAsia="宋体" w:cs="宋体"/>
          <w:sz w:val="24"/>
          <w:szCs w:val="24"/>
        </w:rPr>
        <w:t>能提高员工的忠诚度和工作满意度。企业需要披露其雇佣政策、员工构成（如性别、年龄和文化背景）、薪酬公平性、以及如何处理劳动合同和临时工</w:t>
      </w:r>
      <w:r>
        <w:rPr>
          <w:rFonts w:hint="eastAsia" w:ascii="宋体" w:hAnsi="宋体" w:cs="宋体"/>
          <w:sz w:val="24"/>
          <w:szCs w:val="24"/>
          <w:lang w:val="en-US" w:eastAsia="zh-CN"/>
        </w:rPr>
        <w:t>等</w:t>
      </w:r>
      <w:r>
        <w:rPr>
          <w:rFonts w:ascii="宋体" w:hAnsi="宋体" w:eastAsia="宋体" w:cs="宋体"/>
          <w:sz w:val="24"/>
          <w:szCs w:val="24"/>
        </w:rPr>
        <w:t>问题。这些信息有助于评估企业的人力资源管理水平和社会责任表现。良好的雇佣实践有助于建立一个多元化、包容和动力充沛的工作环境，从而提高员工的创新能力和企业的竞争力。</w:t>
      </w:r>
    </w:p>
    <w:p>
      <w:pPr>
        <w:numPr>
          <w:ilvl w:val="0"/>
          <w:numId w:val="0"/>
        </w:numPr>
        <w:ind w:firstLine="480"/>
        <w:rPr>
          <w:rFonts w:ascii="宋体" w:hAnsi="宋体" w:eastAsia="宋体" w:cs="宋体"/>
          <w:sz w:val="24"/>
          <w:szCs w:val="24"/>
        </w:rPr>
      </w:pPr>
      <w:r>
        <w:rPr>
          <w:rStyle w:val="26"/>
          <w:rFonts w:ascii="宋体" w:hAnsi="宋体" w:eastAsia="宋体" w:cs="宋体"/>
          <w:sz w:val="24"/>
          <w:szCs w:val="24"/>
        </w:rPr>
        <w:t>员工管理</w:t>
      </w:r>
      <w:r>
        <w:rPr>
          <w:rFonts w:ascii="宋体" w:hAnsi="宋体" w:eastAsia="宋体" w:cs="宋体"/>
          <w:sz w:val="24"/>
          <w:szCs w:val="24"/>
        </w:rPr>
        <w:t>：员工是企业最宝贵的资产，有效的员工管理策略能够最大化员工的潜力，提高他们的工作满意度，并减少人力资源流失。通过提供有竞争力的福利和积极的工作环境，企业能够吸引和保留顶尖人才，从而在激烈的行业竞争中保持领先地位。</w:t>
      </w:r>
    </w:p>
    <w:p>
      <w:pPr>
        <w:numPr>
          <w:ilvl w:val="0"/>
          <w:numId w:val="0"/>
        </w:numPr>
        <w:ind w:firstLine="480"/>
        <w:rPr>
          <w:rFonts w:ascii="宋体" w:hAnsi="宋体" w:eastAsia="宋体" w:cs="宋体"/>
          <w:sz w:val="24"/>
          <w:szCs w:val="24"/>
        </w:rPr>
      </w:pPr>
      <w:r>
        <w:rPr>
          <w:rStyle w:val="26"/>
          <w:rFonts w:ascii="宋体" w:hAnsi="宋体" w:eastAsia="宋体" w:cs="宋体"/>
          <w:sz w:val="24"/>
          <w:szCs w:val="24"/>
        </w:rPr>
        <w:t>员工职业发展</w:t>
      </w:r>
      <w:r>
        <w:rPr>
          <w:rFonts w:ascii="宋体" w:hAnsi="宋体" w:eastAsia="宋体" w:cs="宋体"/>
          <w:sz w:val="24"/>
          <w:szCs w:val="24"/>
        </w:rPr>
        <w:t>：持续的职业发展机会能够提高员工的技能和知识，激励他们为企业的成功做出更大贡献。企业需要披露其职业发展和培训计划，以及如何识别和培养高潜力员工。这些信息</w:t>
      </w:r>
      <w:r>
        <w:rPr>
          <w:rFonts w:hint="eastAsia" w:ascii="宋体" w:hAnsi="宋体" w:cs="宋体"/>
          <w:sz w:val="24"/>
          <w:szCs w:val="24"/>
          <w:lang w:val="en-US" w:eastAsia="zh-CN"/>
        </w:rPr>
        <w:t>帮助</w:t>
      </w:r>
      <w:r>
        <w:rPr>
          <w:rFonts w:ascii="宋体" w:hAnsi="宋体" w:eastAsia="宋体" w:cs="宋体"/>
          <w:sz w:val="24"/>
          <w:szCs w:val="24"/>
        </w:rPr>
        <w:t>公众了解企业如何投资于员工成长和发展。通过支持员工</w:t>
      </w:r>
      <w:r>
        <w:rPr>
          <w:rFonts w:hint="eastAsia" w:ascii="宋体" w:hAnsi="宋体" w:cs="宋体"/>
          <w:sz w:val="24"/>
          <w:szCs w:val="24"/>
          <w:lang w:val="en-US" w:eastAsia="zh-CN"/>
        </w:rPr>
        <w:t>的</w:t>
      </w:r>
      <w:r>
        <w:rPr>
          <w:rFonts w:ascii="宋体" w:hAnsi="宋体" w:eastAsia="宋体" w:cs="宋体"/>
          <w:sz w:val="24"/>
          <w:szCs w:val="24"/>
        </w:rPr>
        <w:t>职业发展，企业不仅提高了工作满意度和员工保留率，还为公司的未来发展培养了关键人才。</w:t>
      </w:r>
    </w:p>
    <w:p>
      <w:pPr>
        <w:pStyle w:val="5"/>
        <w:rPr>
          <w:rFonts w:hint="eastAsia"/>
          <w:lang w:val="en-US" w:eastAsia="zh-CN"/>
        </w:rPr>
      </w:pPr>
      <w:r>
        <w:rPr>
          <w:rFonts w:hint="eastAsia"/>
          <w:lang w:val="en-US" w:eastAsia="zh-CN"/>
        </w:rPr>
        <w:t>2.8.2.2 指标的选取</w:t>
      </w:r>
    </w:p>
    <w:p>
      <w:pPr>
        <w:ind w:firstLine="420" w:firstLineChars="0"/>
        <w:rPr>
          <w:rFonts w:hint="default"/>
          <w:b/>
          <w:bCs/>
          <w:highlight w:val="yellow"/>
          <w:lang w:val="en-US" w:eastAsia="zh-CN"/>
        </w:rPr>
      </w:pPr>
      <w:r>
        <w:rPr>
          <w:rFonts w:hint="eastAsia" w:cs="Times New Roman"/>
          <w:sz w:val="24"/>
          <w:szCs w:val="24"/>
          <w:lang w:val="en-US" w:eastAsia="zh-CN"/>
        </w:rPr>
        <w:t>将本文件议题下的专题披露项（即标题所指的指标）对照IFRS、ESRS、国证ESG、GRI、港交所的ESG信息披露框架，旨在说明该指标的主流披露框架覆盖率、适用性以及其科学合理性。</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630"/>
        <w:gridCol w:w="1480"/>
        <w:gridCol w:w="1476"/>
        <w:gridCol w:w="1387"/>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p>
        </w:tc>
        <w:tc>
          <w:tcPr>
            <w:tcW w:w="2654" w:type="dxa"/>
          </w:tcPr>
          <w:p>
            <w:pPr>
              <w:spacing w:line="240" w:lineRule="auto"/>
              <w:jc w:val="center"/>
              <w:rPr>
                <w:rFonts w:hint="default" w:ascii="Times New Roman" w:hAnsi="Times New Roman" w:eastAsia="宋体"/>
                <w:b w:val="0"/>
                <w:bCs w:val="0"/>
                <w:sz w:val="18"/>
                <w:szCs w:val="18"/>
                <w:lang w:val="en-US" w:eastAsia="zh-CN"/>
              </w:rPr>
            </w:pPr>
            <w:r>
              <w:rPr>
                <w:rFonts w:hint="default" w:ascii="Times New Roman" w:hAnsi="Times New Roman" w:eastAsia="宋体"/>
                <w:b w:val="0"/>
                <w:bCs w:val="0"/>
                <w:sz w:val="18"/>
                <w:szCs w:val="18"/>
                <w:lang w:val="en-US" w:eastAsia="zh-CN"/>
              </w:rPr>
              <w:t>IFRS</w:t>
            </w:r>
          </w:p>
        </w:tc>
        <w:tc>
          <w:tcPr>
            <w:tcW w:w="230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ESRS</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国证ESG</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港交所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雇佣</w:t>
            </w:r>
          </w:p>
        </w:tc>
        <w:tc>
          <w:tcPr>
            <w:tcW w:w="2654" w:type="dxa"/>
          </w:tcPr>
          <w:p>
            <w:pPr>
              <w:spacing w:line="240" w:lineRule="auto"/>
              <w:jc w:val="center"/>
              <w:rPr>
                <w:rFonts w:hint="default" w:ascii="Times New Roman" w:hAnsi="Times New Roman" w:eastAsia="宋体"/>
                <w:b w:val="0"/>
                <w:bCs w:val="0"/>
                <w:sz w:val="18"/>
                <w:szCs w:val="18"/>
                <w:lang w:val="en-US" w:eastAsia="zh-CN"/>
              </w:rPr>
            </w:pPr>
          </w:p>
        </w:tc>
        <w:tc>
          <w:tcPr>
            <w:tcW w:w="230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披露要求S1 自身劳动力</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4 就对自身劳动力产生的重大影响而采取的行动，以及减轻重大风险和寻求与自身劳动力相关的重大机会的方法，以及这些行动与方法的有效性</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5 与管理重大负面影响、推进积极影响以及管理重大风险和机遇相关的目标</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6 企业员工特点</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7 非直接雇员员工的特点</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9 多样性指标</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10 充足薪水</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11 社会保护</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16 补偿指标</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401 雇佣</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工作环境质素-工作环境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员工管理</w:t>
            </w:r>
          </w:p>
        </w:tc>
        <w:tc>
          <w:tcPr>
            <w:tcW w:w="2654" w:type="dxa"/>
          </w:tcPr>
          <w:p>
            <w:pPr>
              <w:spacing w:line="240" w:lineRule="auto"/>
              <w:jc w:val="center"/>
              <w:rPr>
                <w:rFonts w:hint="default" w:ascii="Times New Roman" w:hAnsi="Times New Roman" w:eastAsia="宋体"/>
                <w:b w:val="0"/>
                <w:bCs w:val="0"/>
                <w:sz w:val="18"/>
                <w:szCs w:val="18"/>
                <w:lang w:val="en-US" w:eastAsia="zh-CN"/>
              </w:rPr>
            </w:pPr>
          </w:p>
        </w:tc>
        <w:tc>
          <w:tcPr>
            <w:tcW w:w="230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披露要求S1 自身劳动力</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2 与工人及工人代表就任何影响进行接触的流程</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3 与工人及工人代表就任何影响进行接触的流程</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6 企业员工特点</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7 非直接雇员员工的特点</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8 集体谈判的覆盖范围与公共对话</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9 多样性指标</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11 社会保护</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17 严重人权事件</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员工-员工管理与福利</w:t>
            </w:r>
          </w:p>
        </w:tc>
        <w:tc>
          <w:tcPr>
            <w:tcW w:w="2240"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402 劳资关系</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405 多元化与平等机会</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406 反歧视</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407 强迫或强制劳动</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员工职业发展</w:t>
            </w:r>
          </w:p>
        </w:tc>
        <w:tc>
          <w:tcPr>
            <w:tcW w:w="2654" w:type="dxa"/>
          </w:tcPr>
          <w:p>
            <w:pPr>
              <w:spacing w:line="240" w:lineRule="auto"/>
              <w:jc w:val="center"/>
              <w:rPr>
                <w:rFonts w:hint="default" w:ascii="Times New Roman" w:hAnsi="Times New Roman" w:eastAsia="宋体"/>
                <w:b w:val="0"/>
                <w:bCs w:val="0"/>
                <w:sz w:val="18"/>
                <w:szCs w:val="18"/>
                <w:lang w:val="en-US" w:eastAsia="zh-CN"/>
              </w:rPr>
            </w:pPr>
          </w:p>
        </w:tc>
        <w:tc>
          <w:tcPr>
            <w:tcW w:w="230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披露要求S1 自身劳动力</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6 企业员工特点</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7 非直接雇员员工的特点</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13 培训和技能发展指标</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员工-员工发展与多样性</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404 培训与教育</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工作环境质素-发展及培训</w:t>
            </w:r>
          </w:p>
        </w:tc>
      </w:tr>
    </w:tbl>
    <w:p>
      <w:pPr>
        <w:pStyle w:val="5"/>
        <w:rPr>
          <w:rFonts w:hint="default"/>
          <w:lang w:val="en-US" w:eastAsia="zh-CN"/>
        </w:rPr>
      </w:pPr>
      <w:r>
        <w:rPr>
          <w:rFonts w:hint="eastAsia"/>
          <w:lang w:val="en-US" w:eastAsia="zh-CN"/>
        </w:rPr>
        <w:t>2.8.2.3战略、目标与举措</w:t>
      </w:r>
    </w:p>
    <w:p>
      <w:pPr>
        <w:ind w:firstLine="480" w:firstLineChars="200"/>
        <w:rPr>
          <w:rFonts w:hint="eastAsia"/>
          <w:lang w:val="en-US" w:eastAsia="zh-CN"/>
        </w:rPr>
      </w:pPr>
      <w:r>
        <w:rPr>
          <w:rFonts w:hint="eastAsia"/>
          <w:highlight w:val="none"/>
          <w:vertAlign w:val="baseline"/>
          <w:lang w:val="en-US" w:eastAsia="zh-CN"/>
        </w:rPr>
        <w:t>具体到劳动关系和职业发展议题。就企业自身与外部环境而言，均属于风险与机遇并存。因而对于建筑材料企业来说，应根据企业自身状况，选择SO、ST 、WO 、WT战略。建筑材料企业需</w:t>
      </w:r>
      <w:r>
        <w:rPr>
          <w:rFonts w:hint="eastAsia"/>
          <w:lang w:val="en-US" w:eastAsia="zh-CN"/>
        </w:rPr>
        <w:t>提供充分而固定的就业机会，促进企业与员工及其代表的磋商实践是企业履行社会责任的重要义务。企业需注重员工职业发展，提升员工持续就业能力，促进对退休或离职导致的的职业生涯终止的管理。</w:t>
      </w:r>
    </w:p>
    <w:p>
      <w:pPr>
        <w:pStyle w:val="5"/>
        <w:rPr>
          <w:rFonts w:hint="default"/>
          <w:lang w:val="en-US" w:eastAsia="zh-CN"/>
        </w:rPr>
      </w:pPr>
      <w:r>
        <w:rPr>
          <w:rFonts w:hint="eastAsia"/>
          <w:lang w:val="en-US" w:eastAsia="zh-CN"/>
        </w:rPr>
        <w:t>2.8.2.4 特定行业指南</w:t>
      </w:r>
    </w:p>
    <w:p>
      <w:pPr>
        <w:widowControl w:val="0"/>
        <w:numPr>
          <w:ilvl w:val="0"/>
          <w:numId w:val="0"/>
        </w:numPr>
        <w:spacing w:line="36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表8 特定行业劳动关系和职业发展战略指标信息披露与评级指标要求</w:t>
      </w:r>
    </w:p>
    <w:tbl>
      <w:tblPr>
        <w:tblStyle w:val="24"/>
        <w:tblW w:w="840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2355"/>
        <w:gridCol w:w="2400"/>
        <w:gridCol w:w="2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5" w:hRule="atLeast"/>
          <w:jc w:val="right"/>
        </w:trPr>
        <w:tc>
          <w:tcPr>
            <w:tcW w:w="1485" w:type="dxa"/>
          </w:tcPr>
          <w:p>
            <w:pPr>
              <w:spacing w:line="240" w:lineRule="auto"/>
              <w:jc w:val="center"/>
              <w:rPr>
                <w:rFonts w:hint="default" w:ascii="Times New Roman" w:hAnsi="Times New Roman" w:eastAsia="宋体"/>
                <w:b w:val="0"/>
                <w:bCs w:val="0"/>
                <w:sz w:val="18"/>
                <w:szCs w:val="18"/>
                <w:lang w:val="en-US" w:eastAsia="zh-CN"/>
              </w:rPr>
            </w:pPr>
          </w:p>
        </w:tc>
        <w:tc>
          <w:tcPr>
            <w:tcW w:w="235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披露框架</w:t>
            </w:r>
          </w:p>
        </w:tc>
        <w:tc>
          <w:tcPr>
            <w:tcW w:w="4561" w:type="dxa"/>
            <w:gridSpan w:val="2"/>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评级框架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right"/>
        </w:trPr>
        <w:tc>
          <w:tcPr>
            <w:tcW w:w="1485" w:type="dxa"/>
          </w:tcPr>
          <w:p>
            <w:pPr>
              <w:spacing w:line="240" w:lineRule="auto"/>
              <w:jc w:val="center"/>
              <w:rPr>
                <w:rFonts w:hint="default" w:ascii="Times New Roman" w:hAnsi="Times New Roman" w:eastAsia="宋体"/>
                <w:b w:val="0"/>
                <w:bCs w:val="0"/>
                <w:sz w:val="18"/>
                <w:szCs w:val="18"/>
                <w:lang w:val="en-US" w:eastAsia="zh-CN"/>
              </w:rPr>
            </w:pPr>
          </w:p>
        </w:tc>
        <w:tc>
          <w:tcPr>
            <w:tcW w:w="235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IFRS</w:t>
            </w:r>
          </w:p>
        </w:tc>
        <w:tc>
          <w:tcPr>
            <w:tcW w:w="240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MSCI</w:t>
            </w:r>
          </w:p>
        </w:tc>
        <w:tc>
          <w:tcPr>
            <w:tcW w:w="2161"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CSA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right"/>
        </w:trPr>
        <w:tc>
          <w:tcPr>
            <w:tcW w:w="148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建筑原材料</w:t>
            </w:r>
          </w:p>
        </w:tc>
        <w:tc>
          <w:tcPr>
            <w:tcW w:w="235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p>
            <w:pPr>
              <w:spacing w:line="240" w:lineRule="auto"/>
              <w:jc w:val="center"/>
              <w:rPr>
                <w:rFonts w:hint="default" w:ascii="Times New Roman" w:hAnsi="Times New Roman" w:eastAsia="宋体"/>
                <w:b w:val="0"/>
                <w:bCs w:val="0"/>
                <w:sz w:val="18"/>
                <w:szCs w:val="18"/>
                <w:lang w:val="en-US" w:eastAsia="zh-CN"/>
              </w:rPr>
            </w:pPr>
          </w:p>
        </w:tc>
        <w:tc>
          <w:tcPr>
            <w:tcW w:w="2400"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劳工管理</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劳动实践指标</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人力资本开发</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人才吸引与保留</w:t>
            </w:r>
          </w:p>
        </w:tc>
        <w:tc>
          <w:tcPr>
            <w:tcW w:w="2161"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客户关系管理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right"/>
        </w:trPr>
        <w:tc>
          <w:tcPr>
            <w:tcW w:w="148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建筑部品产品</w:t>
            </w:r>
          </w:p>
        </w:tc>
        <w:tc>
          <w:tcPr>
            <w:tcW w:w="235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p>
            <w:pPr>
              <w:spacing w:line="240" w:lineRule="auto"/>
              <w:jc w:val="center"/>
              <w:rPr>
                <w:rFonts w:hint="default" w:ascii="Times New Roman" w:hAnsi="Times New Roman" w:eastAsia="宋体"/>
                <w:b w:val="0"/>
                <w:bCs w:val="0"/>
                <w:sz w:val="18"/>
                <w:szCs w:val="18"/>
                <w:lang w:val="en-US" w:eastAsia="zh-CN"/>
              </w:rPr>
            </w:pPr>
          </w:p>
        </w:tc>
        <w:tc>
          <w:tcPr>
            <w:tcW w:w="240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劳工管理</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劳动实践指标</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人力资本开发</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人才吸引与保留</w:t>
            </w:r>
          </w:p>
        </w:tc>
        <w:tc>
          <w:tcPr>
            <w:tcW w:w="2161"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客户关系管理</w:t>
            </w:r>
          </w:p>
          <w:p>
            <w:pPr>
              <w:spacing w:line="240" w:lineRule="auto"/>
              <w:jc w:val="center"/>
              <w:rPr>
                <w:rFonts w:hint="default" w:ascii="Times New Roman" w:hAnsi="Times New Roman" w:eastAsia="宋体"/>
                <w:b w:val="0"/>
                <w:bCs w:val="0"/>
                <w:sz w:val="18"/>
                <w:szCs w:val="18"/>
                <w:lang w:val="en-US" w:eastAsia="zh-CN"/>
              </w:rPr>
            </w:pPr>
          </w:p>
        </w:tc>
      </w:tr>
    </w:tbl>
    <w:p>
      <w:pPr>
        <w:rPr>
          <w:rFonts w:hint="eastAsia"/>
          <w:lang w:val="en-US" w:eastAsia="zh-CN"/>
        </w:rPr>
      </w:pPr>
    </w:p>
    <w:p>
      <w:pPr>
        <w:pStyle w:val="4"/>
        <w:rPr>
          <w:rFonts w:hint="eastAsia"/>
          <w:lang w:val="en-US" w:eastAsia="zh-CN"/>
        </w:rPr>
      </w:pPr>
      <w:r>
        <w:rPr>
          <w:rFonts w:hint="default"/>
          <w:lang w:eastAsia="zh-Hans"/>
        </w:rPr>
        <w:t>2</w:t>
      </w:r>
      <w:r>
        <w:rPr>
          <w:rFonts w:hint="eastAsia"/>
          <w:lang w:val="en-US" w:eastAsia="zh-Hans"/>
        </w:rPr>
        <w:t>.</w:t>
      </w:r>
      <w:r>
        <w:rPr>
          <w:rFonts w:hint="default"/>
          <w:lang w:eastAsia="zh-Hans"/>
        </w:rPr>
        <w:t>8</w:t>
      </w:r>
      <w:r>
        <w:rPr>
          <w:rFonts w:hint="eastAsia"/>
          <w:lang w:val="en-US" w:eastAsia="zh-Hans"/>
        </w:rPr>
        <w:t>.</w:t>
      </w:r>
      <w:r>
        <w:rPr>
          <w:rFonts w:hint="eastAsia"/>
          <w:lang w:val="en-US" w:eastAsia="zh-CN"/>
        </w:rPr>
        <w:t>3</w:t>
      </w:r>
      <w:r>
        <w:rPr>
          <w:rFonts w:hint="eastAsia"/>
          <w:lang w:val="en-US" w:eastAsia="zh-Hans"/>
        </w:rPr>
        <w:t xml:space="preserve"> </w:t>
      </w:r>
      <w:r>
        <w:rPr>
          <w:rFonts w:hint="eastAsia"/>
          <w:lang w:val="en-US" w:eastAsia="zh-CN"/>
        </w:rPr>
        <w:t>产品责任</w:t>
      </w:r>
    </w:p>
    <w:p>
      <w:pPr>
        <w:pStyle w:val="5"/>
        <w:rPr>
          <w:rFonts w:hint="eastAsia"/>
          <w:lang w:val="en-US" w:eastAsia="zh-CN"/>
        </w:rPr>
      </w:pPr>
      <w:r>
        <w:rPr>
          <w:rFonts w:hint="eastAsia"/>
          <w:lang w:val="en-US" w:eastAsia="zh-CN"/>
        </w:rPr>
        <w:t>2.8.3.1 披露项的设置</w:t>
      </w:r>
    </w:p>
    <w:p>
      <w:pPr>
        <w:ind w:firstLine="480" w:firstLineChars="200"/>
        <w:rPr>
          <w:rFonts w:ascii="宋体" w:hAnsi="宋体" w:eastAsia="宋体" w:cs="宋体"/>
          <w:sz w:val="24"/>
          <w:szCs w:val="24"/>
        </w:rPr>
      </w:pPr>
      <w:r>
        <w:rPr>
          <w:rFonts w:ascii="宋体" w:hAnsi="宋体" w:eastAsia="宋体" w:cs="宋体"/>
          <w:sz w:val="24"/>
          <w:szCs w:val="24"/>
        </w:rPr>
        <w:t>"产品责任"不仅是企业道德和法律责任的体现，也是企业可持续发展战略的核心组成部分。</w:t>
      </w:r>
      <w:r>
        <w:rPr>
          <w:rFonts w:hint="eastAsia" w:ascii="宋体" w:hAnsi="宋体" w:cs="宋体"/>
          <w:sz w:val="24"/>
          <w:szCs w:val="24"/>
          <w:lang w:val="en-US" w:eastAsia="zh-CN"/>
        </w:rPr>
        <w:t>它</w:t>
      </w:r>
      <w:r>
        <w:rPr>
          <w:rFonts w:ascii="宋体" w:hAnsi="宋体" w:eastAsia="宋体" w:cs="宋体"/>
          <w:sz w:val="24"/>
          <w:szCs w:val="24"/>
        </w:rPr>
        <w:t>直接关联到企业的品牌形象、市场竞争力以及与利益相关者的关系。</w:t>
      </w:r>
      <w:r>
        <w:rPr>
          <w:rFonts w:hint="eastAsia" w:ascii="宋体" w:hAnsi="宋体" w:cs="宋体"/>
          <w:sz w:val="24"/>
          <w:szCs w:val="24"/>
          <w:lang w:val="en-US" w:eastAsia="zh-CN"/>
        </w:rPr>
        <w:t>产品责任</w:t>
      </w:r>
      <w:r>
        <w:rPr>
          <w:rFonts w:ascii="宋体" w:hAnsi="宋体" w:eastAsia="宋体" w:cs="宋体"/>
          <w:sz w:val="24"/>
          <w:szCs w:val="24"/>
        </w:rPr>
        <w:t>直接反映了企业对质量和消费者满意度的承诺。通过详细的披露实践，企业能够向利益相关者展示其在维护产品质量和消费者权益方面的努力。</w:t>
      </w:r>
      <w:r>
        <w:rPr>
          <w:rFonts w:hint="eastAsia" w:ascii="宋体" w:hAnsi="宋体" w:cs="宋体"/>
          <w:sz w:val="24"/>
          <w:szCs w:val="24"/>
          <w:lang w:val="en-US" w:eastAsia="zh-CN"/>
        </w:rPr>
        <w:t>既</w:t>
      </w:r>
      <w:r>
        <w:rPr>
          <w:rFonts w:ascii="宋体" w:hAnsi="宋体" w:eastAsia="宋体" w:cs="宋体"/>
          <w:sz w:val="24"/>
          <w:szCs w:val="24"/>
        </w:rPr>
        <w:t>增强公众对企业的信任，</w:t>
      </w:r>
      <w:r>
        <w:rPr>
          <w:rFonts w:hint="eastAsia" w:ascii="宋体" w:hAnsi="宋体" w:cs="宋体"/>
          <w:sz w:val="24"/>
          <w:szCs w:val="24"/>
          <w:lang w:val="en-US" w:eastAsia="zh-CN"/>
        </w:rPr>
        <w:t>又</w:t>
      </w:r>
      <w:r>
        <w:rPr>
          <w:rFonts w:ascii="宋体" w:hAnsi="宋体" w:eastAsia="宋体" w:cs="宋体"/>
          <w:sz w:val="24"/>
          <w:szCs w:val="24"/>
        </w:rPr>
        <w:t>能在竞争激烈的建筑材料市场中巩固企业的地位。长远来看，</w:t>
      </w:r>
      <w:r>
        <w:rPr>
          <w:rFonts w:hint="eastAsia" w:ascii="宋体" w:hAnsi="宋体" w:cs="宋体"/>
          <w:sz w:val="24"/>
          <w:szCs w:val="24"/>
          <w:lang w:val="en-US" w:eastAsia="zh-CN"/>
        </w:rPr>
        <w:t>对于</w:t>
      </w:r>
      <w:r>
        <w:rPr>
          <w:rFonts w:ascii="宋体" w:hAnsi="宋体" w:eastAsia="宋体" w:cs="宋体"/>
          <w:sz w:val="24"/>
          <w:szCs w:val="24"/>
        </w:rPr>
        <w:t>企业的可持续增长</w:t>
      </w:r>
      <w:r>
        <w:rPr>
          <w:rFonts w:hint="eastAsia" w:ascii="宋体" w:hAnsi="宋体" w:cs="宋体"/>
          <w:sz w:val="24"/>
          <w:szCs w:val="24"/>
          <w:lang w:val="en-US" w:eastAsia="zh-CN"/>
        </w:rPr>
        <w:t>有着积极作用</w:t>
      </w:r>
      <w:r>
        <w:rPr>
          <w:rFonts w:ascii="宋体" w:hAnsi="宋体" w:eastAsia="宋体" w:cs="宋体"/>
          <w:sz w:val="24"/>
          <w:szCs w:val="24"/>
        </w:rPr>
        <w:t>，使其能够在不断变化的市场环境中保持韧性和竞争力。</w:t>
      </w:r>
    </w:p>
    <w:p>
      <w:pPr>
        <w:ind w:firstLine="480" w:firstLineChars="200"/>
        <w:rPr>
          <w:rFonts w:ascii="宋体" w:hAnsi="宋体" w:eastAsia="宋体" w:cs="宋体"/>
          <w:sz w:val="24"/>
          <w:szCs w:val="24"/>
        </w:rPr>
      </w:pPr>
      <w:r>
        <w:rPr>
          <w:rFonts w:hint="eastAsia" w:ascii="宋体" w:hAnsi="宋体" w:cs="宋体"/>
          <w:sz w:val="24"/>
          <w:szCs w:val="24"/>
          <w:lang w:val="en-US" w:eastAsia="zh-CN"/>
        </w:rPr>
        <w:t>在</w:t>
      </w:r>
      <w:r>
        <w:rPr>
          <w:rFonts w:ascii="宋体" w:hAnsi="宋体" w:eastAsia="宋体" w:cs="宋体"/>
          <w:sz w:val="24"/>
          <w:szCs w:val="24"/>
        </w:rPr>
        <w:t>“</w:t>
      </w:r>
      <w:r>
        <w:rPr>
          <w:rFonts w:hint="eastAsia" w:ascii="宋体" w:hAnsi="宋体" w:cs="宋体"/>
          <w:sz w:val="24"/>
          <w:szCs w:val="24"/>
          <w:lang w:val="en-US" w:eastAsia="zh-CN"/>
        </w:rPr>
        <w:t>产品责任</w:t>
      </w:r>
      <w:r>
        <w:rPr>
          <w:rFonts w:ascii="宋体" w:hAnsi="宋体" w:eastAsia="宋体" w:cs="宋体"/>
          <w:sz w:val="24"/>
          <w:szCs w:val="24"/>
        </w:rPr>
        <w:t>”议题</w:t>
      </w:r>
      <w:r>
        <w:rPr>
          <w:rFonts w:hint="eastAsia" w:ascii="宋体" w:hAnsi="宋体" w:cs="宋体"/>
          <w:sz w:val="24"/>
          <w:szCs w:val="24"/>
          <w:lang w:val="en-US" w:eastAsia="zh-CN"/>
        </w:rPr>
        <w:t>下设置</w:t>
      </w:r>
      <w:r>
        <w:rPr>
          <w:rFonts w:ascii="宋体" w:hAnsi="宋体" w:eastAsia="宋体" w:cs="宋体"/>
          <w:sz w:val="24"/>
          <w:szCs w:val="24"/>
        </w:rPr>
        <w:t>“</w:t>
      </w:r>
      <w:r>
        <w:rPr>
          <w:rFonts w:hint="eastAsia" w:ascii="宋体" w:hAnsi="宋体" w:cs="宋体"/>
          <w:sz w:val="24"/>
          <w:szCs w:val="24"/>
          <w:lang w:val="en-US" w:eastAsia="zh-CN"/>
        </w:rPr>
        <w:t>生产者责任</w:t>
      </w:r>
      <w:r>
        <w:rPr>
          <w:rFonts w:ascii="宋体" w:hAnsi="宋体" w:eastAsia="宋体" w:cs="宋体"/>
          <w:sz w:val="24"/>
          <w:szCs w:val="24"/>
        </w:rPr>
        <w:t>”“</w:t>
      </w:r>
      <w:r>
        <w:rPr>
          <w:rFonts w:hint="eastAsia" w:ascii="宋体" w:hAnsi="宋体" w:cs="宋体"/>
          <w:sz w:val="24"/>
          <w:szCs w:val="24"/>
          <w:lang w:val="en-US" w:eastAsia="zh-CN"/>
        </w:rPr>
        <w:t>可持续产品</w:t>
      </w:r>
      <w:r>
        <w:rPr>
          <w:rFonts w:ascii="宋体" w:hAnsi="宋体" w:eastAsia="宋体" w:cs="宋体"/>
          <w:sz w:val="24"/>
          <w:szCs w:val="24"/>
        </w:rPr>
        <w:t>”</w:t>
      </w:r>
      <w:r>
        <w:rPr>
          <w:rFonts w:hint="eastAsia" w:ascii="宋体" w:hAnsi="宋体" w:cs="宋体"/>
          <w:sz w:val="24"/>
          <w:szCs w:val="24"/>
          <w:lang w:val="en-US" w:eastAsia="zh-CN"/>
        </w:rPr>
        <w:t>两个披露项。</w:t>
      </w:r>
    </w:p>
    <w:p>
      <w:pPr>
        <w:ind w:firstLine="482" w:firstLineChars="200"/>
        <w:rPr>
          <w:rFonts w:ascii="宋体" w:hAnsi="宋体" w:eastAsia="宋体" w:cs="宋体"/>
          <w:sz w:val="24"/>
          <w:szCs w:val="24"/>
        </w:rPr>
      </w:pPr>
      <w:r>
        <w:rPr>
          <w:rStyle w:val="26"/>
          <w:rFonts w:hint="eastAsia" w:ascii="宋体" w:hAnsi="宋体" w:cs="宋体"/>
          <w:sz w:val="24"/>
          <w:szCs w:val="24"/>
          <w:lang w:val="en-US" w:eastAsia="zh-CN"/>
        </w:rPr>
        <w:t>生产者责任</w:t>
      </w:r>
      <w:r>
        <w:rPr>
          <w:rFonts w:ascii="宋体" w:hAnsi="宋体" w:eastAsia="宋体" w:cs="宋体"/>
          <w:sz w:val="24"/>
          <w:szCs w:val="24"/>
        </w:rPr>
        <w:t>：建筑材料行业生产的产品直接影响建筑工程的质量、安全性和持久性。因此，</w:t>
      </w:r>
      <w:r>
        <w:rPr>
          <w:rFonts w:hint="eastAsia" w:ascii="宋体" w:hAnsi="宋体" w:cs="宋体"/>
          <w:sz w:val="24"/>
          <w:szCs w:val="24"/>
          <w:lang w:val="en-US" w:eastAsia="zh-CN"/>
        </w:rPr>
        <w:t>企业的生产者责任</w:t>
      </w:r>
      <w:r>
        <w:rPr>
          <w:rFonts w:ascii="宋体" w:hAnsi="宋体" w:eastAsia="宋体" w:cs="宋体"/>
          <w:sz w:val="24"/>
          <w:szCs w:val="24"/>
        </w:rPr>
        <w:t>是至关重要的，它能确保产品满足或超过行业标准和消费者期望。企业需要披露与产品质量相关的各种信息，包括但不限于产品测试、内部质量控制流程、符合质量标准的产品比例，以及由于质量问题导致的产品召回或法律诉讼。通过</w:t>
      </w:r>
      <w:r>
        <w:rPr>
          <w:rFonts w:hint="eastAsia" w:ascii="宋体" w:hAnsi="宋体" w:cs="宋体"/>
          <w:sz w:val="24"/>
          <w:szCs w:val="24"/>
          <w:lang w:val="en-US" w:eastAsia="zh-CN"/>
        </w:rPr>
        <w:t>披露这些信息</w:t>
      </w:r>
      <w:r>
        <w:rPr>
          <w:rFonts w:ascii="宋体" w:hAnsi="宋体" w:eastAsia="宋体" w:cs="宋体"/>
          <w:sz w:val="24"/>
          <w:szCs w:val="24"/>
        </w:rPr>
        <w:t>，企业不仅能够在公众中建立信任，还能在激烈的市场竞争中树立自己的品牌。此外，良好的产品质量管理还能减少潜在的法律风险</w:t>
      </w:r>
      <w:r>
        <w:rPr>
          <w:rFonts w:hint="eastAsia" w:ascii="宋体" w:hAnsi="宋体" w:cs="宋体"/>
          <w:sz w:val="24"/>
          <w:szCs w:val="24"/>
          <w:lang w:val="en-US" w:eastAsia="zh-CN"/>
        </w:rPr>
        <w:t>与</w:t>
      </w:r>
      <w:r>
        <w:rPr>
          <w:rFonts w:ascii="宋体" w:hAnsi="宋体" w:eastAsia="宋体" w:cs="宋体"/>
          <w:sz w:val="24"/>
          <w:szCs w:val="24"/>
        </w:rPr>
        <w:t>合规成本。</w:t>
      </w:r>
      <w:r>
        <w:rPr>
          <w:rFonts w:hint="eastAsia" w:ascii="宋体" w:hAnsi="宋体" w:eastAsia="宋体" w:cs="宋体"/>
          <w:sz w:val="24"/>
          <w:szCs w:val="24"/>
        </w:rPr>
        <w:t>另外，企业向消费者及其他顾客提供产品和服务，意味着企业对他们也负有责任。</w:t>
      </w:r>
    </w:p>
    <w:p>
      <w:pPr>
        <w:ind w:firstLine="482" w:firstLineChars="200"/>
        <w:rPr>
          <w:rFonts w:ascii="宋体" w:hAnsi="宋体" w:eastAsia="宋体" w:cs="宋体"/>
          <w:sz w:val="24"/>
          <w:szCs w:val="24"/>
        </w:rPr>
      </w:pPr>
      <w:r>
        <w:rPr>
          <w:rStyle w:val="26"/>
          <w:rFonts w:hint="eastAsia" w:ascii="宋体" w:hAnsi="宋体" w:eastAsia="宋体" w:cs="宋体"/>
          <w:sz w:val="24"/>
          <w:szCs w:val="24"/>
        </w:rPr>
        <w:t>可持续产品</w:t>
      </w:r>
      <w:r>
        <w:rPr>
          <w:rFonts w:ascii="宋体" w:hAnsi="宋体" w:eastAsia="宋体" w:cs="宋体"/>
          <w:sz w:val="24"/>
          <w:szCs w:val="24"/>
        </w:rPr>
        <w:t>：随</w:t>
      </w:r>
      <w:r>
        <w:rPr>
          <w:rFonts w:hint="eastAsia"/>
          <w:lang w:val="en-US" w:eastAsia="zh-CN"/>
        </w:rPr>
        <w:t>建筑材料企业需关注产品或服务的全生命周期环境影响，通过可持续性的设计、生产与销售与回收等措施，最大限度地为消费者提供健康、安全、高质量的产品和服务。</w:t>
      </w:r>
    </w:p>
    <w:p>
      <w:pPr>
        <w:pStyle w:val="5"/>
        <w:rPr>
          <w:rFonts w:hint="eastAsia"/>
          <w:lang w:val="en-US" w:eastAsia="zh-CN"/>
        </w:rPr>
      </w:pPr>
      <w:r>
        <w:rPr>
          <w:rFonts w:hint="eastAsia"/>
          <w:lang w:val="en-US" w:eastAsia="zh-CN"/>
        </w:rPr>
        <w:t>2.8.3.2 指标的选取</w:t>
      </w:r>
    </w:p>
    <w:p>
      <w:pPr>
        <w:ind w:firstLine="420" w:firstLineChars="0"/>
        <w:rPr>
          <w:rFonts w:hint="default"/>
          <w:b/>
          <w:bCs/>
          <w:highlight w:val="yellow"/>
          <w:lang w:val="en-US" w:eastAsia="zh-CN"/>
        </w:rPr>
      </w:pPr>
      <w:r>
        <w:rPr>
          <w:rFonts w:hint="eastAsia" w:cs="Times New Roman"/>
          <w:sz w:val="24"/>
          <w:szCs w:val="24"/>
          <w:lang w:val="en-US" w:eastAsia="zh-CN"/>
        </w:rPr>
        <w:t>将本文件议题下的专题披露项（即标题所指的指标）对照IFRS、ESRS、国证ESG、GRI、港交所的ESG信息披露框架，旨在说明该指标的主流披露框架覆盖率、适用性以及其科学合理性。</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630"/>
        <w:gridCol w:w="1480"/>
        <w:gridCol w:w="1476"/>
        <w:gridCol w:w="1387"/>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p>
        </w:tc>
        <w:tc>
          <w:tcPr>
            <w:tcW w:w="2654" w:type="dxa"/>
          </w:tcPr>
          <w:p>
            <w:pPr>
              <w:spacing w:line="240" w:lineRule="auto"/>
              <w:jc w:val="center"/>
              <w:rPr>
                <w:rFonts w:hint="default" w:ascii="Times New Roman" w:hAnsi="Times New Roman" w:eastAsia="宋体"/>
                <w:b w:val="0"/>
                <w:bCs w:val="0"/>
                <w:sz w:val="18"/>
                <w:szCs w:val="18"/>
                <w:lang w:val="en-US" w:eastAsia="zh-CN"/>
              </w:rPr>
            </w:pPr>
            <w:r>
              <w:rPr>
                <w:rFonts w:hint="default" w:ascii="Times New Roman" w:hAnsi="Times New Roman" w:eastAsia="宋体"/>
                <w:b w:val="0"/>
                <w:bCs w:val="0"/>
                <w:sz w:val="18"/>
                <w:szCs w:val="18"/>
                <w:lang w:val="en-US" w:eastAsia="zh-CN"/>
              </w:rPr>
              <w:t>IFRS</w:t>
            </w:r>
          </w:p>
        </w:tc>
        <w:tc>
          <w:tcPr>
            <w:tcW w:w="230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ESRS</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国证ESG</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港交所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产品质量管理</w:t>
            </w:r>
          </w:p>
        </w:tc>
        <w:tc>
          <w:tcPr>
            <w:tcW w:w="2654" w:type="dxa"/>
          </w:tcPr>
          <w:p>
            <w:pPr>
              <w:spacing w:line="240" w:lineRule="auto"/>
              <w:jc w:val="center"/>
              <w:rPr>
                <w:rFonts w:hint="default" w:ascii="Times New Roman" w:hAnsi="Times New Roman" w:eastAsia="宋体"/>
                <w:b w:val="0"/>
                <w:bCs w:val="0"/>
                <w:sz w:val="18"/>
                <w:szCs w:val="18"/>
                <w:lang w:val="en-US" w:eastAsia="zh-CN"/>
              </w:rPr>
            </w:pPr>
          </w:p>
        </w:tc>
        <w:tc>
          <w:tcPr>
            <w:tcW w:w="2306"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披露要求S4 消费者与最终用户</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2</w:t>
            </w:r>
            <w:r>
              <w:rPr>
                <w:rFonts w:hint="default" w:ascii="Times New Roman" w:hAnsi="Times New Roman" w:eastAsia="宋体"/>
                <w:b w:val="0"/>
                <w:bCs w:val="0"/>
                <w:sz w:val="18"/>
                <w:szCs w:val="18"/>
                <w:lang w:val="en-US" w:eastAsia="zh-CN"/>
              </w:rPr>
              <w:t>与消费者和最终用户接触影响的过程</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3</w:t>
            </w:r>
            <w:r>
              <w:rPr>
                <w:rFonts w:hint="default" w:ascii="Times New Roman" w:hAnsi="Times New Roman" w:eastAsia="宋体"/>
                <w:b w:val="0"/>
                <w:bCs w:val="0"/>
                <w:sz w:val="18"/>
                <w:szCs w:val="18"/>
                <w:lang w:val="en-US" w:eastAsia="zh-CN"/>
              </w:rPr>
              <w:t>补救负面影响的流程以及消费者和最终用户提出担忧的渠道</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5</w:t>
            </w:r>
            <w:r>
              <w:rPr>
                <w:rFonts w:hint="default" w:ascii="Times New Roman" w:hAnsi="Times New Roman" w:eastAsia="宋体"/>
                <w:b w:val="0"/>
                <w:bCs w:val="0"/>
                <w:sz w:val="18"/>
                <w:szCs w:val="18"/>
                <w:lang w:val="en-US" w:eastAsia="zh-CN"/>
              </w:rPr>
              <w:t>与管理重大负面影响、推进积极影响以及管理重大风险和机遇相关的目标</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产品与客户-产品质量与安全</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营运管理-产品责任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消费者责任</w:t>
            </w:r>
          </w:p>
        </w:tc>
        <w:tc>
          <w:tcPr>
            <w:tcW w:w="2654" w:type="dxa"/>
          </w:tcPr>
          <w:p>
            <w:pPr>
              <w:spacing w:line="240" w:lineRule="auto"/>
              <w:jc w:val="center"/>
              <w:rPr>
                <w:rFonts w:hint="default" w:ascii="Times New Roman" w:hAnsi="Times New Roman" w:eastAsia="宋体"/>
                <w:b w:val="0"/>
                <w:bCs w:val="0"/>
                <w:sz w:val="18"/>
                <w:szCs w:val="18"/>
                <w:lang w:val="en-US" w:eastAsia="zh-CN"/>
              </w:rPr>
            </w:pPr>
          </w:p>
        </w:tc>
        <w:tc>
          <w:tcPr>
            <w:tcW w:w="2306"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披露要求S4 消费者与最终用户</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5</w:t>
            </w:r>
            <w:r>
              <w:rPr>
                <w:rFonts w:hint="default" w:ascii="Times New Roman" w:hAnsi="Times New Roman" w:eastAsia="宋体"/>
                <w:b w:val="0"/>
                <w:bCs w:val="0"/>
                <w:sz w:val="18"/>
                <w:szCs w:val="18"/>
                <w:lang w:val="en-US" w:eastAsia="zh-CN"/>
              </w:rPr>
              <w:t>与管理重大负面影响、推进积极影响以及管理重大风险和机遇相关的目标</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产品与客户-客户权益保护</w:t>
            </w:r>
          </w:p>
        </w:tc>
        <w:tc>
          <w:tcPr>
            <w:tcW w:w="2240"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416 客户健康与安全</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418 客户隐私</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营运管理-产品责任</w:t>
            </w:r>
          </w:p>
        </w:tc>
      </w:tr>
    </w:tbl>
    <w:p>
      <w:pPr>
        <w:pStyle w:val="5"/>
        <w:rPr>
          <w:rFonts w:hint="default"/>
          <w:lang w:val="en-US" w:eastAsia="zh-CN"/>
        </w:rPr>
      </w:pPr>
      <w:r>
        <w:rPr>
          <w:rFonts w:hint="eastAsia"/>
          <w:lang w:val="en-US" w:eastAsia="zh-CN"/>
        </w:rPr>
        <w:t>2.8.3.3 战略、目标与举措</w:t>
      </w:r>
    </w:p>
    <w:p>
      <w:pPr>
        <w:ind w:firstLine="480" w:firstLineChars="200"/>
        <w:rPr>
          <w:rFonts w:hint="default"/>
          <w:b/>
          <w:bCs/>
          <w:highlight w:val="yellow"/>
          <w:lang w:val="en-US" w:eastAsia="zh-CN"/>
        </w:rPr>
      </w:pPr>
      <w:r>
        <w:rPr>
          <w:rFonts w:hint="eastAsia" w:cs="Times New Roman"/>
          <w:sz w:val="24"/>
          <w:szCs w:val="24"/>
          <w:lang w:val="en-US" w:eastAsia="zh-CN"/>
        </w:rPr>
        <w:t>具体到产品责任议题。就企业自身业态而言，由于</w:t>
      </w:r>
      <w:r>
        <w:rPr>
          <w:rFonts w:hint="eastAsia"/>
          <w:lang w:val="en-US" w:eastAsia="zh-CN"/>
        </w:rPr>
        <w:t>建筑材料产品既对天然资源有较强依赖，同时也对人居环境有显著影响。企业需从产品的全生命周期角度出发，承担生产者责任，最大限度地为消费者提供可持续的产品和服务。就外部环境而言，产品从设计、原材料采购、生产、检验、出售全流程均属于风险与机遇并存。此外，可能还面临一些列的环境、经营、市场以及财务风险与机遇。因而对于建筑材料企业来说，应根据企业自身状况，选择SO、ST 、WO 、WT战略。建筑材料企业需采取积极措施，夯实生产者责任，从产品生产全流程预防风险，尽可能规避产品质量问题；明确产品安全质量事件的责任，包括承担相应的法律和经济责任，以及采取的有效措施来防止类似事件的再次发生；制定和实施改进和预防措施，包括改进产品的设计和制造，加强质量控制和监督，在提高产品质量和安全性的基础上，加强产品创新和研发，推进环保和可持续发展。</w:t>
      </w:r>
    </w:p>
    <w:p>
      <w:pPr>
        <w:pStyle w:val="5"/>
        <w:rPr>
          <w:rFonts w:hint="eastAsia"/>
          <w:lang w:val="en-US" w:eastAsia="zh-CN"/>
        </w:rPr>
      </w:pPr>
      <w:r>
        <w:rPr>
          <w:rFonts w:hint="eastAsia"/>
          <w:lang w:val="en-US" w:eastAsia="zh-CN"/>
        </w:rPr>
        <w:t>2.8.3.4 特定行业指南</w:t>
      </w:r>
    </w:p>
    <w:p>
      <w:pPr>
        <w:ind w:firstLine="420" w:firstLineChars="0"/>
        <w:outlineLvl w:val="2"/>
        <w:rPr>
          <w:rFonts w:hint="default" w:ascii="Times New Roman" w:hAnsi="Times New Roman" w:eastAsia="宋体"/>
          <w:b/>
          <w:bCs/>
          <w:highlight w:val="none"/>
          <w:lang w:val="en-US" w:eastAsia="zh-CN"/>
        </w:rPr>
      </w:pPr>
      <w:r>
        <w:rPr>
          <w:rFonts w:hint="eastAsia" w:cs="Times New Roman"/>
          <w:sz w:val="24"/>
          <w:szCs w:val="24"/>
          <w:lang w:val="en-US" w:eastAsia="zh-CN"/>
        </w:rPr>
        <w:t>建筑部品产品行业必须报告价值链产品责任的管理。</w:t>
      </w:r>
    </w:p>
    <w:p>
      <w:pPr>
        <w:widowControl w:val="0"/>
        <w:numPr>
          <w:ilvl w:val="0"/>
          <w:numId w:val="0"/>
        </w:numPr>
        <w:spacing w:line="36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表9特定行业产品指标信息披露与评级指标要求</w:t>
      </w:r>
    </w:p>
    <w:tbl>
      <w:tblPr>
        <w:tblStyle w:val="24"/>
        <w:tblW w:w="8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1"/>
        <w:gridCol w:w="1688"/>
        <w:gridCol w:w="1824"/>
        <w:gridCol w:w="2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121" w:type="dxa"/>
          </w:tcPr>
          <w:p>
            <w:pPr>
              <w:spacing w:line="240" w:lineRule="auto"/>
              <w:jc w:val="center"/>
              <w:rPr>
                <w:rFonts w:hint="default" w:ascii="Times New Roman" w:hAnsi="Times New Roman" w:eastAsia="宋体"/>
                <w:b w:val="0"/>
                <w:bCs w:val="0"/>
                <w:sz w:val="18"/>
                <w:szCs w:val="18"/>
                <w:lang w:val="en-US" w:eastAsia="zh-CN"/>
              </w:rPr>
            </w:pPr>
          </w:p>
        </w:tc>
        <w:tc>
          <w:tcPr>
            <w:tcW w:w="1688"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披露框架</w:t>
            </w:r>
          </w:p>
        </w:tc>
        <w:tc>
          <w:tcPr>
            <w:tcW w:w="4250" w:type="dxa"/>
            <w:gridSpan w:val="2"/>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评级框架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2121" w:type="dxa"/>
          </w:tcPr>
          <w:p>
            <w:pPr>
              <w:spacing w:line="240" w:lineRule="auto"/>
              <w:jc w:val="center"/>
              <w:rPr>
                <w:rFonts w:hint="default" w:ascii="Times New Roman" w:hAnsi="Times New Roman" w:eastAsia="宋体"/>
                <w:b w:val="0"/>
                <w:bCs w:val="0"/>
                <w:sz w:val="18"/>
                <w:szCs w:val="18"/>
                <w:lang w:val="en-US" w:eastAsia="zh-CN"/>
              </w:rPr>
            </w:pPr>
          </w:p>
        </w:tc>
        <w:tc>
          <w:tcPr>
            <w:tcW w:w="1688"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IFRS</w:t>
            </w:r>
          </w:p>
        </w:tc>
        <w:tc>
          <w:tcPr>
            <w:tcW w:w="182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MSCI</w:t>
            </w:r>
          </w:p>
        </w:tc>
        <w:tc>
          <w:tcPr>
            <w:tcW w:w="242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CSA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2121"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建筑原材料</w:t>
            </w:r>
          </w:p>
        </w:tc>
        <w:tc>
          <w:tcPr>
            <w:tcW w:w="1688"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p>
            <w:pPr>
              <w:spacing w:line="240" w:lineRule="auto"/>
              <w:jc w:val="center"/>
              <w:rPr>
                <w:rFonts w:hint="default" w:ascii="Times New Roman" w:hAnsi="Times New Roman" w:eastAsia="宋体"/>
                <w:b w:val="0"/>
                <w:bCs w:val="0"/>
                <w:sz w:val="18"/>
                <w:szCs w:val="18"/>
                <w:lang w:val="en-US" w:eastAsia="zh-CN"/>
              </w:rPr>
            </w:pPr>
          </w:p>
        </w:tc>
        <w:tc>
          <w:tcPr>
            <w:tcW w:w="182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产品质量&amp;安全</w:t>
            </w:r>
          </w:p>
        </w:tc>
        <w:tc>
          <w:tcPr>
            <w:tcW w:w="2426"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客户关系管理</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信息安全&amp;网络安全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121"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建筑部品产品</w:t>
            </w:r>
          </w:p>
        </w:tc>
        <w:tc>
          <w:tcPr>
            <w:tcW w:w="1688"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p>
            <w:pPr>
              <w:spacing w:line="240" w:lineRule="auto"/>
              <w:jc w:val="center"/>
              <w:rPr>
                <w:rFonts w:hint="default" w:ascii="Times New Roman" w:hAnsi="Times New Roman" w:eastAsia="宋体"/>
                <w:b w:val="0"/>
                <w:bCs w:val="0"/>
                <w:sz w:val="18"/>
                <w:szCs w:val="18"/>
                <w:lang w:val="en-US" w:eastAsia="zh-CN"/>
              </w:rPr>
            </w:pPr>
          </w:p>
        </w:tc>
        <w:tc>
          <w:tcPr>
            <w:tcW w:w="182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p>
            <w:pPr>
              <w:spacing w:line="240" w:lineRule="auto"/>
              <w:jc w:val="center"/>
              <w:rPr>
                <w:rFonts w:hint="default" w:ascii="Times New Roman" w:hAnsi="Times New Roman" w:eastAsia="宋体"/>
                <w:b w:val="0"/>
                <w:bCs w:val="0"/>
                <w:sz w:val="18"/>
                <w:szCs w:val="18"/>
                <w:lang w:val="en-US" w:eastAsia="zh-CN"/>
              </w:rPr>
            </w:pPr>
          </w:p>
        </w:tc>
        <w:tc>
          <w:tcPr>
            <w:tcW w:w="2426"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客户关系管理</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信息安全&amp;网络安全</w:t>
            </w:r>
          </w:p>
        </w:tc>
      </w:tr>
    </w:tbl>
    <w:p>
      <w:pPr>
        <w:pStyle w:val="4"/>
        <w:rPr>
          <w:rFonts w:hint="default" w:eastAsia="黑体"/>
          <w:lang w:val="en-US" w:eastAsia="zh-CN"/>
        </w:rPr>
      </w:pPr>
      <w:r>
        <w:rPr>
          <w:rFonts w:hint="default"/>
          <w:lang w:eastAsia="zh-Hans"/>
        </w:rPr>
        <w:t>2</w:t>
      </w:r>
      <w:r>
        <w:rPr>
          <w:rFonts w:hint="eastAsia"/>
          <w:lang w:val="en-US" w:eastAsia="zh-Hans"/>
        </w:rPr>
        <w:t>.</w:t>
      </w:r>
      <w:r>
        <w:rPr>
          <w:rFonts w:hint="default"/>
          <w:lang w:eastAsia="zh-Hans"/>
        </w:rPr>
        <w:t>8</w:t>
      </w:r>
      <w:r>
        <w:rPr>
          <w:rFonts w:hint="eastAsia"/>
          <w:lang w:val="en-US" w:eastAsia="zh-Hans"/>
        </w:rPr>
        <w:t>.</w:t>
      </w:r>
      <w:r>
        <w:rPr>
          <w:rFonts w:hint="eastAsia"/>
          <w:lang w:val="en-US" w:eastAsia="zh-CN"/>
        </w:rPr>
        <w:t>4</w:t>
      </w:r>
      <w:r>
        <w:rPr>
          <w:rFonts w:hint="eastAsia"/>
          <w:lang w:val="en-US" w:eastAsia="zh-Hans"/>
        </w:rPr>
        <w:t xml:space="preserve">  </w:t>
      </w:r>
      <w:r>
        <w:rPr>
          <w:rFonts w:hint="eastAsia"/>
          <w:lang w:val="en-US" w:eastAsia="zh-CN"/>
        </w:rPr>
        <w:t>供应链管理</w:t>
      </w:r>
    </w:p>
    <w:p>
      <w:pPr>
        <w:pStyle w:val="5"/>
        <w:rPr>
          <w:rFonts w:hint="eastAsia"/>
          <w:lang w:val="en-US" w:eastAsia="zh-CN"/>
        </w:rPr>
      </w:pPr>
      <w:r>
        <w:rPr>
          <w:rFonts w:hint="eastAsia"/>
          <w:lang w:val="en-US" w:eastAsia="zh-CN"/>
        </w:rPr>
        <w:t>2.8.4.1披露项的设置</w:t>
      </w:r>
    </w:p>
    <w:p>
      <w:pPr>
        <w:numPr>
          <w:ilvl w:val="0"/>
          <w:numId w:val="0"/>
        </w:numPr>
        <w:ind w:firstLine="480"/>
        <w:rPr>
          <w:rFonts w:ascii="宋体" w:hAnsi="宋体" w:eastAsia="宋体" w:cs="宋体"/>
          <w:sz w:val="24"/>
          <w:szCs w:val="24"/>
        </w:rPr>
      </w:pPr>
      <w:r>
        <w:rPr>
          <w:rFonts w:ascii="宋体" w:hAnsi="宋体" w:eastAsia="宋体" w:cs="宋体"/>
          <w:sz w:val="24"/>
          <w:szCs w:val="24"/>
        </w:rPr>
        <w:t>供应链管理是确保企业可持续性的关键因素之一。</w:t>
      </w:r>
      <w:r>
        <w:rPr>
          <w:rFonts w:hint="eastAsia" w:ascii="宋体" w:hAnsi="宋体" w:cs="宋体"/>
          <w:sz w:val="24"/>
          <w:szCs w:val="24"/>
          <w:lang w:val="en-US" w:eastAsia="zh-CN"/>
        </w:rPr>
        <w:t>建筑材料行业</w:t>
      </w:r>
      <w:r>
        <w:rPr>
          <w:rFonts w:ascii="宋体" w:hAnsi="宋体" w:eastAsia="宋体" w:cs="宋体"/>
          <w:sz w:val="24"/>
          <w:szCs w:val="24"/>
        </w:rPr>
        <w:t>通常涉及复杂的供应链，包括从原材料采购到产品分销的各个环节。</w:t>
      </w:r>
      <w:r>
        <w:rPr>
          <w:rFonts w:hint="eastAsia" w:ascii="宋体" w:hAnsi="宋体" w:cs="宋体"/>
          <w:sz w:val="24"/>
          <w:szCs w:val="24"/>
          <w:lang w:val="en-US" w:eastAsia="zh-CN"/>
        </w:rPr>
        <w:t>因此，</w:t>
      </w:r>
      <w:r>
        <w:rPr>
          <w:rFonts w:ascii="宋体" w:hAnsi="宋体" w:eastAsia="宋体" w:cs="宋体"/>
          <w:sz w:val="24"/>
          <w:szCs w:val="24"/>
        </w:rPr>
        <w:t>“</w:t>
      </w:r>
      <w:r>
        <w:rPr>
          <w:rFonts w:hint="eastAsia" w:ascii="宋体" w:hAnsi="宋体" w:eastAsia="宋体" w:cs="宋体"/>
          <w:sz w:val="24"/>
          <w:szCs w:val="24"/>
        </w:rPr>
        <w:t>供应链管理</w:t>
      </w:r>
      <w:r>
        <w:rPr>
          <w:rFonts w:ascii="宋体" w:hAnsi="宋体" w:eastAsia="宋体" w:cs="宋体"/>
          <w:sz w:val="24"/>
          <w:szCs w:val="24"/>
        </w:rPr>
        <w:t>”议题显得尤为重要，因为它直接影响企业的可持续运营、声誉和合规性。</w:t>
      </w:r>
      <w:r>
        <w:rPr>
          <w:rFonts w:hint="eastAsia" w:ascii="宋体" w:hAnsi="宋体" w:cs="宋体"/>
          <w:sz w:val="24"/>
          <w:szCs w:val="24"/>
          <w:lang w:val="en-US" w:eastAsia="zh-CN"/>
        </w:rPr>
        <w:t>通过披露</w:t>
      </w:r>
      <w:r>
        <w:rPr>
          <w:rFonts w:ascii="宋体" w:hAnsi="宋体" w:eastAsia="宋体" w:cs="宋体"/>
          <w:sz w:val="24"/>
          <w:szCs w:val="24"/>
        </w:rPr>
        <w:t>“供应</w:t>
      </w:r>
      <w:r>
        <w:rPr>
          <w:rFonts w:hint="eastAsia" w:ascii="宋体" w:hAnsi="宋体" w:eastAsia="宋体" w:cs="宋体"/>
          <w:sz w:val="24"/>
          <w:szCs w:val="24"/>
        </w:rPr>
        <w:t>链</w:t>
      </w:r>
      <w:r>
        <w:rPr>
          <w:rFonts w:ascii="宋体" w:hAnsi="宋体" w:eastAsia="宋体" w:cs="宋体"/>
          <w:sz w:val="24"/>
          <w:szCs w:val="24"/>
        </w:rPr>
        <w:t>管理”议题，建筑材料行业的企业展现了其对供应链风险的认识和管理能力。</w:t>
      </w:r>
      <w:r>
        <w:rPr>
          <w:rFonts w:hint="eastAsia" w:ascii="宋体" w:hAnsi="宋体" w:cs="宋体"/>
          <w:sz w:val="24"/>
          <w:szCs w:val="24"/>
          <w:lang w:val="en-US" w:eastAsia="zh-CN"/>
        </w:rPr>
        <w:t>这</w:t>
      </w:r>
      <w:r>
        <w:rPr>
          <w:rFonts w:ascii="宋体" w:hAnsi="宋体" w:eastAsia="宋体" w:cs="宋体"/>
          <w:sz w:val="24"/>
          <w:szCs w:val="24"/>
        </w:rPr>
        <w:t>不仅增强了投资者和利益相关者的信心，</w:t>
      </w:r>
      <w:r>
        <w:rPr>
          <w:rFonts w:hint="eastAsia" w:ascii="宋体" w:hAnsi="宋体" w:cs="宋体"/>
          <w:sz w:val="24"/>
          <w:szCs w:val="24"/>
          <w:lang w:val="en-US" w:eastAsia="zh-CN"/>
        </w:rPr>
        <w:t>也</w:t>
      </w:r>
      <w:r>
        <w:rPr>
          <w:rFonts w:ascii="宋体" w:hAnsi="宋体" w:eastAsia="宋体" w:cs="宋体"/>
          <w:sz w:val="24"/>
          <w:szCs w:val="24"/>
        </w:rPr>
        <w:t>有助于企业在全球市场中建立起负责任和可信赖的形象。通过与供应商合作改善环境和社会表现，企业促进了整个</w:t>
      </w:r>
      <w:r>
        <w:rPr>
          <w:rFonts w:hint="eastAsia" w:ascii="宋体" w:hAnsi="宋体" w:cs="宋体"/>
          <w:sz w:val="24"/>
          <w:szCs w:val="24"/>
          <w:lang w:val="en-US" w:eastAsia="zh-CN"/>
        </w:rPr>
        <w:t>行业上下游</w:t>
      </w:r>
      <w:r>
        <w:rPr>
          <w:rFonts w:ascii="宋体" w:hAnsi="宋体" w:eastAsia="宋体" w:cs="宋体"/>
          <w:sz w:val="24"/>
          <w:szCs w:val="24"/>
        </w:rPr>
        <w:t>的可持续发展，这对于应对当前和未来的环境挑战至关重要。</w:t>
      </w:r>
    </w:p>
    <w:p>
      <w:pPr>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在</w:t>
      </w:r>
      <w:r>
        <w:rPr>
          <w:rFonts w:ascii="宋体" w:hAnsi="宋体" w:eastAsia="宋体" w:cs="宋体"/>
          <w:sz w:val="24"/>
          <w:szCs w:val="24"/>
        </w:rPr>
        <w:t>“</w:t>
      </w:r>
      <w:r>
        <w:rPr>
          <w:rFonts w:hint="eastAsia" w:ascii="宋体" w:hAnsi="宋体" w:eastAsia="宋体" w:cs="宋体"/>
          <w:sz w:val="24"/>
          <w:szCs w:val="24"/>
        </w:rPr>
        <w:t>供应链管理</w:t>
      </w:r>
      <w:r>
        <w:rPr>
          <w:rFonts w:ascii="宋体" w:hAnsi="宋体" w:eastAsia="宋体" w:cs="宋体"/>
          <w:sz w:val="24"/>
          <w:szCs w:val="24"/>
        </w:rPr>
        <w:t>”议题</w:t>
      </w:r>
      <w:r>
        <w:rPr>
          <w:rFonts w:hint="eastAsia" w:ascii="宋体" w:hAnsi="宋体" w:cs="宋体"/>
          <w:sz w:val="24"/>
          <w:szCs w:val="24"/>
          <w:lang w:val="en-US" w:eastAsia="zh-CN"/>
        </w:rPr>
        <w:t>下设置</w:t>
      </w:r>
      <w:r>
        <w:rPr>
          <w:rFonts w:ascii="宋体" w:hAnsi="宋体" w:eastAsia="宋体" w:cs="宋体"/>
          <w:sz w:val="24"/>
          <w:szCs w:val="24"/>
        </w:rPr>
        <w:t>“</w:t>
      </w:r>
      <w:r>
        <w:rPr>
          <w:rFonts w:hint="eastAsia" w:ascii="宋体" w:hAnsi="宋体" w:cs="宋体"/>
          <w:sz w:val="24"/>
          <w:szCs w:val="24"/>
          <w:lang w:val="en-US" w:eastAsia="zh-CN"/>
        </w:rPr>
        <w:t>供应商管理</w:t>
      </w:r>
      <w:r>
        <w:rPr>
          <w:rFonts w:ascii="宋体" w:hAnsi="宋体" w:eastAsia="宋体" w:cs="宋体"/>
          <w:sz w:val="24"/>
          <w:szCs w:val="24"/>
        </w:rPr>
        <w:t>”“</w:t>
      </w:r>
      <w:r>
        <w:rPr>
          <w:rFonts w:hint="eastAsia" w:ascii="宋体" w:hAnsi="宋体" w:cs="宋体"/>
          <w:sz w:val="24"/>
          <w:szCs w:val="24"/>
          <w:lang w:val="en-US" w:eastAsia="zh-CN"/>
        </w:rPr>
        <w:t>绿色采购</w:t>
      </w:r>
      <w:r>
        <w:rPr>
          <w:rFonts w:ascii="宋体" w:hAnsi="宋体" w:eastAsia="宋体" w:cs="宋体"/>
          <w:sz w:val="24"/>
          <w:szCs w:val="24"/>
        </w:rPr>
        <w:t>”</w:t>
      </w:r>
      <w:r>
        <w:rPr>
          <w:rFonts w:hint="eastAsia" w:ascii="宋体" w:hAnsi="宋体" w:cs="宋体"/>
          <w:sz w:val="24"/>
          <w:szCs w:val="24"/>
          <w:lang w:val="en-US" w:eastAsia="zh-CN"/>
        </w:rPr>
        <w:t>两个披露项。</w:t>
      </w:r>
    </w:p>
    <w:p>
      <w:pPr>
        <w:numPr>
          <w:ilvl w:val="0"/>
          <w:numId w:val="0"/>
        </w:numPr>
        <w:ind w:firstLine="480"/>
        <w:rPr>
          <w:rFonts w:ascii="宋体" w:hAnsi="宋体" w:eastAsia="宋体" w:cs="宋体"/>
          <w:sz w:val="24"/>
          <w:szCs w:val="24"/>
        </w:rPr>
      </w:pPr>
      <w:r>
        <w:rPr>
          <w:rStyle w:val="26"/>
          <w:rFonts w:ascii="宋体" w:hAnsi="宋体" w:eastAsia="宋体" w:cs="宋体"/>
          <w:sz w:val="24"/>
          <w:szCs w:val="24"/>
        </w:rPr>
        <w:t>供应商管理</w:t>
      </w:r>
      <w:r>
        <w:rPr>
          <w:rFonts w:ascii="宋体" w:hAnsi="宋体" w:eastAsia="宋体" w:cs="宋体"/>
          <w:sz w:val="24"/>
          <w:szCs w:val="24"/>
        </w:rPr>
        <w:t>：供应商的行为直接影响了企业的可持续表现。供应商可能涉及的风险包括不合规的环境实践、不道德的劳工政策或不稳定的供应情况。这些风险不仅可能损害企业的声誉，还可能导致经济损失和法律责任。通过有效的供应商管理，企业能够减少与供应链相关的风险，提高供应链的透明度，并确保供应链的可持续性。这不仅有助于保护企业免受潜在的声誉损害和法律风险，还能促进供应链各方的可持续实践，从而在整个行业中推广责任感和可持续性。</w:t>
      </w:r>
    </w:p>
    <w:p>
      <w:pPr>
        <w:numPr>
          <w:ilvl w:val="0"/>
          <w:numId w:val="0"/>
        </w:numPr>
        <w:ind w:firstLine="480"/>
        <w:rPr>
          <w:rFonts w:hint="eastAsia" w:ascii="宋体" w:hAnsi="宋体" w:eastAsia="宋体" w:cs="宋体"/>
          <w:sz w:val="24"/>
          <w:szCs w:val="24"/>
          <w:lang w:val="en-US" w:eastAsia="zh-CN"/>
        </w:rPr>
      </w:pPr>
      <w:r>
        <w:rPr>
          <w:rFonts w:hint="eastAsia" w:ascii="宋体" w:hAnsi="宋体" w:cs="宋体"/>
          <w:b/>
          <w:bCs/>
          <w:sz w:val="24"/>
          <w:szCs w:val="24"/>
          <w:lang w:val="en-US" w:eastAsia="zh-CN"/>
        </w:rPr>
        <w:t>绿色采购：</w:t>
      </w:r>
      <w:r>
        <w:rPr>
          <w:rFonts w:hint="eastAsia" w:ascii="宋体" w:hAnsi="宋体" w:cs="宋体"/>
          <w:sz w:val="24"/>
          <w:szCs w:val="24"/>
          <w:lang w:val="en-US" w:eastAsia="zh-CN"/>
        </w:rPr>
        <w:t>绿色采购是指企业在采购活动中，推广绿色低碳理念，充分考虑环境保护、资源节约、安全健康、循环低碳和回收促进，优先采购和使用节能、节水、节材等有利于环境保护的原材料、产品和服务的行为。建筑材料企业应建立和维护与供应商的长期合作关系，推行绿色采购政策，增强供应安全系数及供应可靠性，促进供应链的可持续性。</w:t>
      </w:r>
    </w:p>
    <w:p>
      <w:pPr>
        <w:pStyle w:val="5"/>
        <w:rPr>
          <w:rFonts w:hint="eastAsia"/>
          <w:lang w:val="en-US" w:eastAsia="zh-CN"/>
        </w:rPr>
      </w:pPr>
      <w:r>
        <w:rPr>
          <w:rFonts w:hint="eastAsia"/>
          <w:lang w:val="en-US" w:eastAsia="zh-CN"/>
        </w:rPr>
        <w:t>2.8.4.2指标的选取</w:t>
      </w:r>
    </w:p>
    <w:p>
      <w:pPr>
        <w:ind w:firstLine="420" w:firstLineChars="0"/>
        <w:rPr>
          <w:rFonts w:hint="default"/>
          <w:b/>
          <w:bCs/>
          <w:highlight w:val="yellow"/>
          <w:lang w:val="en-US" w:eastAsia="zh-CN"/>
        </w:rPr>
      </w:pPr>
      <w:r>
        <w:rPr>
          <w:rFonts w:hint="eastAsia" w:cs="Times New Roman"/>
          <w:sz w:val="24"/>
          <w:szCs w:val="24"/>
          <w:lang w:val="en-US" w:eastAsia="zh-CN"/>
        </w:rPr>
        <w:t>将本文件议题下的专题披露项（即标题所指的指标）对照IFRS、ESRS、国证ESG、GRI、港交所的ESG信息披露框架，旨在说明该指标的主流披露框架覆盖率、适用性以及其科学合理性。</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630"/>
        <w:gridCol w:w="1480"/>
        <w:gridCol w:w="1476"/>
        <w:gridCol w:w="1387"/>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p>
        </w:tc>
        <w:tc>
          <w:tcPr>
            <w:tcW w:w="2654" w:type="dxa"/>
          </w:tcPr>
          <w:p>
            <w:pPr>
              <w:spacing w:line="240" w:lineRule="auto"/>
              <w:jc w:val="center"/>
              <w:rPr>
                <w:rFonts w:hint="default" w:ascii="Times New Roman" w:hAnsi="Times New Roman" w:eastAsia="宋体"/>
                <w:b w:val="0"/>
                <w:bCs w:val="0"/>
                <w:sz w:val="18"/>
                <w:szCs w:val="18"/>
                <w:lang w:val="en-US" w:eastAsia="zh-CN"/>
              </w:rPr>
            </w:pPr>
            <w:r>
              <w:rPr>
                <w:rFonts w:hint="default" w:ascii="Times New Roman" w:hAnsi="Times New Roman" w:eastAsia="宋体"/>
                <w:b w:val="0"/>
                <w:bCs w:val="0"/>
                <w:sz w:val="18"/>
                <w:szCs w:val="18"/>
                <w:lang w:val="en-US" w:eastAsia="zh-CN"/>
              </w:rPr>
              <w:t>IFRS</w:t>
            </w:r>
          </w:p>
        </w:tc>
        <w:tc>
          <w:tcPr>
            <w:tcW w:w="230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ESRS</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国证ESG</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港交所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供应商管理</w:t>
            </w:r>
          </w:p>
        </w:tc>
        <w:tc>
          <w:tcPr>
            <w:tcW w:w="2654" w:type="dxa"/>
          </w:tcPr>
          <w:p>
            <w:pPr>
              <w:spacing w:line="240" w:lineRule="auto"/>
              <w:jc w:val="center"/>
              <w:rPr>
                <w:rFonts w:hint="default" w:ascii="Times New Roman" w:hAnsi="Times New Roman" w:eastAsia="宋体"/>
                <w:b w:val="0"/>
                <w:bCs w:val="0"/>
                <w:sz w:val="18"/>
                <w:szCs w:val="18"/>
                <w:lang w:val="en-US" w:eastAsia="zh-CN"/>
              </w:rPr>
            </w:pPr>
          </w:p>
        </w:tc>
        <w:tc>
          <w:tcPr>
            <w:tcW w:w="230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披露要求G1 商业行为</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2 与供应商的关系管理</w:t>
            </w:r>
          </w:p>
        </w:tc>
        <w:tc>
          <w:tcPr>
            <w:tcW w:w="2387"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供应商-环境管理</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供应商-社会责任管理</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414 供应商社会评估</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营运惯例-供应链管理</w:t>
            </w:r>
          </w:p>
        </w:tc>
      </w:tr>
    </w:tbl>
    <w:p>
      <w:pPr>
        <w:pStyle w:val="5"/>
        <w:rPr>
          <w:rFonts w:hint="eastAsia"/>
          <w:lang w:val="en-US" w:eastAsia="zh-CN"/>
        </w:rPr>
      </w:pPr>
      <w:r>
        <w:rPr>
          <w:rFonts w:hint="eastAsia"/>
          <w:lang w:val="en-US" w:eastAsia="zh-CN"/>
        </w:rPr>
        <w:t>2.8.4.3 战略、目标与举措</w:t>
      </w:r>
    </w:p>
    <w:p>
      <w:pPr>
        <w:ind w:firstLine="480" w:firstLineChars="200"/>
        <w:rPr>
          <w:rFonts w:hint="default"/>
          <w:b/>
          <w:bCs/>
          <w:highlight w:val="yellow"/>
          <w:lang w:val="en-US" w:eastAsia="zh-CN"/>
        </w:rPr>
      </w:pPr>
      <w:r>
        <w:rPr>
          <w:rFonts w:hint="eastAsia"/>
          <w:highlight w:val="none"/>
          <w:vertAlign w:val="baseline"/>
          <w:lang w:val="en-US" w:eastAsia="zh-CN"/>
        </w:rPr>
        <w:t>具体到</w:t>
      </w:r>
      <w:r>
        <w:rPr>
          <w:rFonts w:hint="eastAsia" w:ascii="宋体" w:hAnsi="宋体" w:eastAsia="宋体" w:cs="宋体"/>
          <w:sz w:val="24"/>
          <w:szCs w:val="24"/>
        </w:rPr>
        <w:t>供应链管理</w:t>
      </w:r>
      <w:r>
        <w:rPr>
          <w:rFonts w:hint="eastAsia"/>
          <w:highlight w:val="none"/>
          <w:vertAlign w:val="baseline"/>
          <w:lang w:val="en-US" w:eastAsia="zh-CN"/>
        </w:rPr>
        <w:t>议题。就企业自身与外部环境而言，均属于风险与机遇并存。过去两年间，新冠疫情、俄乌冲突、苏伊士运河堵塞等危机事件凸显了全球供应链在面临不可预测且前所未有的突发困境时的脆弱性。当下，全球疫情依然复杂，地缘政治紧张局势更加剧了不确定性。全球供应链稳定性也相应受到严峻挑战，困局正在世界范围内持续蔓延且面临更为复杂的局面。因而对于建筑材料企业来说，应根据企业自身状况，选择SO、ST 、WO 、WT战略。建筑材料企业需考虑到企业在过去几年间经历的各种供应链中断以及未来或持续面临的不确定性，若要保持稳定运营，企业需要更积极主动地对供应链进行管理，增强韧性。这不仅需要完备的供应商管理机制，也需要对供应链风险进行持续监测、全面评估、以及制定有效的缓释策略</w:t>
      </w:r>
      <w:r>
        <w:rPr>
          <w:rFonts w:hint="eastAsia"/>
          <w:lang w:val="en-US" w:eastAsia="zh-CN"/>
        </w:rPr>
        <w:t>。</w:t>
      </w:r>
    </w:p>
    <w:p>
      <w:pPr>
        <w:pStyle w:val="5"/>
        <w:rPr>
          <w:rFonts w:hint="default"/>
          <w:lang w:val="en-US" w:eastAsia="zh-CN"/>
        </w:rPr>
      </w:pPr>
      <w:r>
        <w:rPr>
          <w:rFonts w:hint="eastAsia"/>
          <w:lang w:val="en-US" w:eastAsia="zh-CN"/>
        </w:rPr>
        <w:t>2.8.4.4 特定行业指南</w:t>
      </w:r>
    </w:p>
    <w:p>
      <w:pPr>
        <w:widowControl w:val="0"/>
        <w:numPr>
          <w:ilvl w:val="0"/>
          <w:numId w:val="0"/>
        </w:numPr>
        <w:spacing w:line="36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表10 特定行业供应商管理战略信息披露与评级指标要求</w:t>
      </w:r>
    </w:p>
    <w:tbl>
      <w:tblPr>
        <w:tblStyle w:val="24"/>
        <w:tblW w:w="829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0"/>
        <w:gridCol w:w="2070"/>
        <w:gridCol w:w="2370"/>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right"/>
        </w:trPr>
        <w:tc>
          <w:tcPr>
            <w:tcW w:w="1440" w:type="dxa"/>
          </w:tcPr>
          <w:p>
            <w:pPr>
              <w:spacing w:line="240" w:lineRule="auto"/>
              <w:jc w:val="center"/>
              <w:rPr>
                <w:rFonts w:hint="default" w:ascii="Times New Roman" w:hAnsi="Times New Roman" w:eastAsia="宋体"/>
                <w:b w:val="0"/>
                <w:bCs w:val="0"/>
                <w:sz w:val="18"/>
                <w:szCs w:val="18"/>
                <w:lang w:val="en-US" w:eastAsia="zh-CN"/>
              </w:rPr>
            </w:pPr>
          </w:p>
        </w:tc>
        <w:tc>
          <w:tcPr>
            <w:tcW w:w="207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披露框架</w:t>
            </w:r>
          </w:p>
        </w:tc>
        <w:tc>
          <w:tcPr>
            <w:tcW w:w="4785" w:type="dxa"/>
            <w:gridSpan w:val="2"/>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评级框架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right"/>
        </w:trPr>
        <w:tc>
          <w:tcPr>
            <w:tcW w:w="1440" w:type="dxa"/>
          </w:tcPr>
          <w:p>
            <w:pPr>
              <w:spacing w:line="240" w:lineRule="auto"/>
              <w:jc w:val="center"/>
              <w:rPr>
                <w:rFonts w:hint="default" w:ascii="Times New Roman" w:hAnsi="Times New Roman" w:eastAsia="宋体"/>
                <w:b w:val="0"/>
                <w:bCs w:val="0"/>
                <w:sz w:val="18"/>
                <w:szCs w:val="18"/>
                <w:lang w:val="en-US" w:eastAsia="zh-CN"/>
              </w:rPr>
            </w:pPr>
          </w:p>
        </w:tc>
        <w:tc>
          <w:tcPr>
            <w:tcW w:w="207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IFRS</w:t>
            </w:r>
          </w:p>
        </w:tc>
        <w:tc>
          <w:tcPr>
            <w:tcW w:w="237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MSCI</w:t>
            </w:r>
          </w:p>
        </w:tc>
        <w:tc>
          <w:tcPr>
            <w:tcW w:w="241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CSA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right"/>
        </w:trPr>
        <w:tc>
          <w:tcPr>
            <w:tcW w:w="14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建筑原材料</w:t>
            </w:r>
          </w:p>
        </w:tc>
        <w:tc>
          <w:tcPr>
            <w:tcW w:w="207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tc>
        <w:tc>
          <w:tcPr>
            <w:tcW w:w="237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tc>
        <w:tc>
          <w:tcPr>
            <w:tcW w:w="241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供应链管理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right"/>
        </w:trPr>
        <w:tc>
          <w:tcPr>
            <w:tcW w:w="14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建筑部品产品</w:t>
            </w:r>
          </w:p>
        </w:tc>
        <w:tc>
          <w:tcPr>
            <w:tcW w:w="207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p>
            <w:pPr>
              <w:spacing w:line="240" w:lineRule="auto"/>
              <w:jc w:val="center"/>
              <w:rPr>
                <w:rFonts w:hint="default" w:ascii="Times New Roman" w:hAnsi="Times New Roman" w:eastAsia="宋体"/>
                <w:b w:val="0"/>
                <w:bCs w:val="0"/>
                <w:sz w:val="18"/>
                <w:szCs w:val="18"/>
                <w:lang w:val="en-US" w:eastAsia="zh-CN"/>
              </w:rPr>
            </w:pPr>
          </w:p>
        </w:tc>
        <w:tc>
          <w:tcPr>
            <w:tcW w:w="2370"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供应链劳工标准</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有争议的采购</w:t>
            </w:r>
          </w:p>
        </w:tc>
        <w:tc>
          <w:tcPr>
            <w:tcW w:w="241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供应链管理</w:t>
            </w:r>
          </w:p>
          <w:p>
            <w:pPr>
              <w:spacing w:line="240" w:lineRule="auto"/>
              <w:jc w:val="center"/>
              <w:rPr>
                <w:rFonts w:hint="default" w:ascii="Times New Roman" w:hAnsi="Times New Roman" w:eastAsia="宋体"/>
                <w:b w:val="0"/>
                <w:bCs w:val="0"/>
                <w:sz w:val="18"/>
                <w:szCs w:val="18"/>
                <w:lang w:val="en-US" w:eastAsia="zh-CN"/>
              </w:rPr>
            </w:pPr>
          </w:p>
        </w:tc>
      </w:tr>
    </w:tbl>
    <w:p>
      <w:pPr>
        <w:pStyle w:val="4"/>
        <w:rPr>
          <w:rFonts w:hint="eastAsia"/>
          <w:lang w:val="en-US" w:eastAsia="zh-CN"/>
        </w:rPr>
      </w:pPr>
      <w:r>
        <w:rPr>
          <w:rFonts w:hint="default"/>
          <w:lang w:eastAsia="zh-Hans"/>
        </w:rPr>
        <w:t>2</w:t>
      </w:r>
      <w:r>
        <w:rPr>
          <w:rFonts w:hint="eastAsia"/>
          <w:lang w:val="en-US" w:eastAsia="zh-Hans"/>
        </w:rPr>
        <w:t>.</w:t>
      </w:r>
      <w:r>
        <w:rPr>
          <w:rFonts w:hint="default"/>
          <w:lang w:eastAsia="zh-Hans"/>
        </w:rPr>
        <w:t>8</w:t>
      </w:r>
      <w:r>
        <w:rPr>
          <w:rFonts w:hint="eastAsia"/>
          <w:lang w:val="en-US" w:eastAsia="zh-Hans"/>
        </w:rPr>
        <w:t>.</w:t>
      </w:r>
      <w:r>
        <w:rPr>
          <w:rFonts w:hint="eastAsia"/>
          <w:lang w:val="en-US" w:eastAsia="zh-CN"/>
        </w:rPr>
        <w:t>5</w:t>
      </w:r>
      <w:r>
        <w:rPr>
          <w:rFonts w:hint="eastAsia"/>
          <w:lang w:val="en-US" w:eastAsia="zh-Hans"/>
        </w:rPr>
        <w:t xml:space="preserve"> </w:t>
      </w:r>
      <w:r>
        <w:rPr>
          <w:rFonts w:hint="eastAsia"/>
          <w:lang w:val="en-US" w:eastAsia="zh-CN"/>
        </w:rPr>
        <w:t>社区影响</w:t>
      </w:r>
    </w:p>
    <w:p>
      <w:pPr>
        <w:pStyle w:val="5"/>
        <w:rPr>
          <w:rFonts w:hint="eastAsia"/>
          <w:lang w:val="en-US" w:eastAsia="zh-CN"/>
        </w:rPr>
      </w:pPr>
      <w:r>
        <w:rPr>
          <w:rFonts w:hint="eastAsia"/>
          <w:lang w:val="en-US" w:eastAsia="zh-CN"/>
        </w:rPr>
        <w:t>2.8.5.1披露项的设置</w:t>
      </w:r>
    </w:p>
    <w:p>
      <w:pPr>
        <w:ind w:firstLine="480" w:firstLineChars="200"/>
        <w:rPr>
          <w:rFonts w:hint="eastAsia" w:ascii="宋体" w:hAnsi="宋体" w:eastAsia="宋体" w:cs="宋体"/>
          <w:sz w:val="24"/>
          <w:szCs w:val="24"/>
        </w:rPr>
      </w:pPr>
      <w:r>
        <w:rPr>
          <w:rFonts w:ascii="宋体" w:hAnsi="宋体" w:eastAsia="宋体" w:cs="宋体"/>
          <w:sz w:val="24"/>
          <w:szCs w:val="24"/>
        </w:rPr>
        <w:t>企业的运营不仅影响环境和市场，还深刻影响着所在和周边社区。</w:t>
      </w:r>
      <w:r>
        <w:rPr>
          <w:rFonts w:hint="eastAsia" w:ascii="宋体" w:hAnsi="宋体" w:cs="宋体"/>
          <w:sz w:val="24"/>
          <w:szCs w:val="24"/>
          <w:lang w:val="en-US" w:eastAsia="zh-CN"/>
        </w:rPr>
        <w:t>因此，</w:t>
      </w:r>
      <w:r>
        <w:rPr>
          <w:rFonts w:ascii="宋体" w:hAnsi="宋体" w:eastAsia="宋体" w:cs="宋体"/>
          <w:sz w:val="24"/>
          <w:szCs w:val="24"/>
        </w:rPr>
        <w:t>“社区影响”成为</w:t>
      </w:r>
      <w:r>
        <w:rPr>
          <w:rFonts w:hint="eastAsia" w:ascii="宋体" w:hAnsi="宋体" w:cs="宋体"/>
          <w:sz w:val="24"/>
          <w:szCs w:val="24"/>
          <w:lang w:val="en-US" w:eastAsia="zh-CN"/>
        </w:rPr>
        <w:t>了</w:t>
      </w:r>
      <w:r>
        <w:rPr>
          <w:rFonts w:ascii="宋体" w:hAnsi="宋体" w:eastAsia="宋体" w:cs="宋体"/>
          <w:sz w:val="24"/>
          <w:szCs w:val="24"/>
        </w:rPr>
        <w:t>一个至关重要的议题。它反映了企业如何积极管理与社区的关系，以及如何通过各种举措对社区进行投资和支持。</w:t>
      </w:r>
      <w:r>
        <w:rPr>
          <w:rFonts w:hint="eastAsia" w:ascii="宋体" w:hAnsi="宋体" w:eastAsia="宋体" w:cs="宋体"/>
          <w:sz w:val="24"/>
          <w:szCs w:val="24"/>
        </w:rPr>
        <w:t>通过在ESG信息披露中强调“社区影响”议题，建筑材料行业的企业展现了其对社会责任的认识和承担。积极的社区参与和投资也反映了企业的长远视角，显示它们不仅追求短期经济利益，还关注社会的长期可持续发展。</w:t>
      </w:r>
    </w:p>
    <w:p>
      <w:pPr>
        <w:ind w:firstLine="480" w:firstLineChars="200"/>
        <w:rPr>
          <w:rFonts w:hint="default" w:ascii="宋体" w:hAnsi="宋体" w:eastAsia="宋体" w:cs="宋体"/>
          <w:sz w:val="24"/>
          <w:szCs w:val="24"/>
          <w:lang w:val="en-US" w:eastAsia="zh-CN"/>
        </w:rPr>
      </w:pPr>
      <w:r>
        <w:rPr>
          <w:rFonts w:hint="eastAsia" w:ascii="宋体" w:hAnsi="宋体" w:cs="宋体"/>
          <w:sz w:val="24"/>
          <w:szCs w:val="24"/>
          <w:lang w:val="en-US" w:eastAsia="zh-CN"/>
        </w:rPr>
        <w:t>在</w:t>
      </w:r>
      <w:r>
        <w:rPr>
          <w:rFonts w:ascii="宋体" w:hAnsi="宋体" w:eastAsia="宋体" w:cs="宋体"/>
          <w:sz w:val="24"/>
          <w:szCs w:val="24"/>
        </w:rPr>
        <w:t>“</w:t>
      </w:r>
      <w:r>
        <w:rPr>
          <w:rFonts w:hint="eastAsia" w:ascii="宋体" w:hAnsi="宋体" w:cs="宋体"/>
          <w:sz w:val="24"/>
          <w:szCs w:val="24"/>
          <w:lang w:val="en-US" w:eastAsia="zh-CN"/>
        </w:rPr>
        <w:t>社区影响</w:t>
      </w:r>
      <w:r>
        <w:rPr>
          <w:rFonts w:ascii="宋体" w:hAnsi="宋体" w:eastAsia="宋体" w:cs="宋体"/>
          <w:sz w:val="24"/>
          <w:szCs w:val="24"/>
        </w:rPr>
        <w:t>”议题</w:t>
      </w:r>
      <w:r>
        <w:rPr>
          <w:rFonts w:hint="eastAsia" w:ascii="宋体" w:hAnsi="宋体" w:cs="宋体"/>
          <w:sz w:val="24"/>
          <w:szCs w:val="24"/>
          <w:lang w:val="en-US" w:eastAsia="zh-CN"/>
        </w:rPr>
        <w:t>下设置</w:t>
      </w:r>
      <w:r>
        <w:rPr>
          <w:rFonts w:ascii="宋体" w:hAnsi="宋体" w:eastAsia="宋体" w:cs="宋体"/>
          <w:sz w:val="24"/>
          <w:szCs w:val="24"/>
        </w:rPr>
        <w:t>“</w:t>
      </w:r>
      <w:r>
        <w:rPr>
          <w:rFonts w:hint="eastAsia" w:ascii="宋体" w:hAnsi="宋体" w:cs="宋体"/>
          <w:sz w:val="24"/>
          <w:szCs w:val="24"/>
          <w:lang w:val="en-US" w:eastAsia="zh-CN"/>
        </w:rPr>
        <w:t>社区管理</w:t>
      </w:r>
      <w:r>
        <w:rPr>
          <w:rFonts w:ascii="宋体" w:hAnsi="宋体" w:eastAsia="宋体" w:cs="宋体"/>
          <w:sz w:val="24"/>
          <w:szCs w:val="24"/>
        </w:rPr>
        <w:t>”“</w:t>
      </w:r>
      <w:r>
        <w:rPr>
          <w:rFonts w:hint="eastAsia" w:ascii="宋体" w:hAnsi="宋体" w:cs="宋体"/>
          <w:sz w:val="24"/>
          <w:szCs w:val="24"/>
          <w:lang w:val="en-US" w:eastAsia="zh-CN"/>
        </w:rPr>
        <w:t>公益投资与捐赠</w:t>
      </w:r>
      <w:r>
        <w:rPr>
          <w:rFonts w:ascii="宋体" w:hAnsi="宋体" w:eastAsia="宋体" w:cs="宋体"/>
          <w:sz w:val="24"/>
          <w:szCs w:val="24"/>
        </w:rPr>
        <w:t>”</w:t>
      </w:r>
      <w:r>
        <w:rPr>
          <w:rFonts w:hint="eastAsia" w:ascii="宋体" w:hAnsi="宋体" w:cs="宋体"/>
          <w:sz w:val="24"/>
          <w:szCs w:val="24"/>
          <w:lang w:val="en-US" w:eastAsia="zh-CN"/>
        </w:rPr>
        <w:t>两个披露项。</w:t>
      </w:r>
    </w:p>
    <w:p>
      <w:pPr>
        <w:numPr>
          <w:ilvl w:val="0"/>
          <w:numId w:val="0"/>
        </w:numPr>
        <w:ind w:firstLine="480"/>
        <w:rPr>
          <w:rFonts w:ascii="宋体" w:hAnsi="宋体" w:eastAsia="宋体" w:cs="宋体"/>
          <w:sz w:val="24"/>
          <w:szCs w:val="24"/>
        </w:rPr>
      </w:pPr>
      <w:r>
        <w:rPr>
          <w:rStyle w:val="26"/>
          <w:rFonts w:ascii="宋体" w:hAnsi="宋体" w:eastAsia="宋体" w:cs="宋体"/>
          <w:sz w:val="24"/>
          <w:szCs w:val="24"/>
        </w:rPr>
        <w:t>社区管理</w:t>
      </w:r>
      <w:r>
        <w:rPr>
          <w:rFonts w:ascii="宋体" w:hAnsi="宋体" w:eastAsia="宋体" w:cs="宋体"/>
          <w:sz w:val="24"/>
          <w:szCs w:val="24"/>
        </w:rPr>
        <w:t>：建筑材料行业的项目往往规模庞大，对地方社区的经济、环境和社会结构有着显著影响。有效的社区管理确保了企业活动与社区</w:t>
      </w:r>
      <w:r>
        <w:rPr>
          <w:rFonts w:hint="eastAsia" w:ascii="宋体" w:hAnsi="宋体" w:cs="宋体"/>
          <w:sz w:val="24"/>
          <w:szCs w:val="24"/>
          <w:lang w:val="en-US" w:eastAsia="zh-CN"/>
        </w:rPr>
        <w:t>的</w:t>
      </w:r>
      <w:r>
        <w:rPr>
          <w:rFonts w:ascii="宋体" w:hAnsi="宋体" w:eastAsia="宋体" w:cs="宋体"/>
          <w:sz w:val="24"/>
          <w:szCs w:val="24"/>
        </w:rPr>
        <w:t>利益和福祉相协调。企业需要披露其如何识别和管理与社区相关的风险和机遇，包括社区参与策略、利益相关者沟通、以及处理社区投诉和反馈的机制。此外，企业应描述其如何评估社区投资项目的影响和效果。通过积极的社区管理，企业能够建立和维护与社区的良好关系，减少运营风险，提高社区的接受度和支持度。这种互利共赢的关系促进了企业的可持续发展和社区的繁荣。</w:t>
      </w:r>
    </w:p>
    <w:p>
      <w:pPr>
        <w:numPr>
          <w:ilvl w:val="0"/>
          <w:numId w:val="0"/>
        </w:numPr>
        <w:ind w:firstLine="480"/>
        <w:rPr>
          <w:rFonts w:ascii="宋体" w:hAnsi="宋体" w:eastAsia="宋体" w:cs="宋体"/>
          <w:sz w:val="24"/>
          <w:szCs w:val="24"/>
        </w:rPr>
      </w:pPr>
      <w:r>
        <w:rPr>
          <w:rStyle w:val="26"/>
          <w:rFonts w:ascii="宋体" w:hAnsi="宋体" w:eastAsia="宋体" w:cs="宋体"/>
          <w:sz w:val="24"/>
          <w:szCs w:val="24"/>
        </w:rPr>
        <w:t>公益</w:t>
      </w:r>
      <w:r>
        <w:rPr>
          <w:rStyle w:val="26"/>
          <w:rFonts w:hint="eastAsia" w:ascii="宋体" w:hAnsi="宋体" w:eastAsia="宋体" w:cs="宋体"/>
          <w:sz w:val="24"/>
          <w:szCs w:val="24"/>
          <w:lang w:val="en-US" w:eastAsia="zh-CN"/>
        </w:rPr>
        <w:t>投资与捐赠</w:t>
      </w:r>
      <w:r>
        <w:rPr>
          <w:rFonts w:ascii="宋体" w:hAnsi="宋体" w:eastAsia="宋体" w:cs="宋体"/>
          <w:sz w:val="24"/>
          <w:szCs w:val="24"/>
        </w:rPr>
        <w:t>：企业不仅是经济实体，也是社会责任的承担者。积极参与扶贫和公益活动显示了企业对社会发展和人道主义的承诺。通过</w:t>
      </w:r>
      <w:r>
        <w:rPr>
          <w:rFonts w:hint="eastAsia" w:ascii="宋体" w:hAnsi="宋体" w:eastAsia="宋体" w:cs="宋体"/>
          <w:sz w:val="24"/>
          <w:szCs w:val="24"/>
          <w:lang w:val="en-US" w:eastAsia="zh-CN"/>
        </w:rPr>
        <w:t>公益投资与捐赠</w:t>
      </w:r>
      <w:r>
        <w:rPr>
          <w:rFonts w:ascii="宋体" w:hAnsi="宋体" w:eastAsia="宋体" w:cs="宋体"/>
          <w:sz w:val="24"/>
          <w:szCs w:val="24"/>
        </w:rPr>
        <w:t>项目，企业展现了超越纯粹商业利益的社会价值。这些努力提高了企业的品牌形象，增强了公众信任，并有助于创造一个更加和谐、平等的社会。</w:t>
      </w:r>
    </w:p>
    <w:p>
      <w:pPr>
        <w:pStyle w:val="5"/>
        <w:rPr>
          <w:rFonts w:hint="eastAsia"/>
          <w:lang w:val="en-US" w:eastAsia="zh-CN"/>
        </w:rPr>
      </w:pPr>
      <w:r>
        <w:rPr>
          <w:rFonts w:hint="eastAsia"/>
          <w:lang w:val="en-US" w:eastAsia="zh-CN"/>
        </w:rPr>
        <w:t>2.8.5.2指标的选取</w:t>
      </w:r>
    </w:p>
    <w:p>
      <w:pPr>
        <w:ind w:firstLine="420" w:firstLineChars="0"/>
        <w:rPr>
          <w:rFonts w:hint="default"/>
          <w:b/>
          <w:bCs/>
          <w:highlight w:val="yellow"/>
          <w:lang w:val="en-US" w:eastAsia="zh-CN"/>
        </w:rPr>
      </w:pPr>
      <w:r>
        <w:rPr>
          <w:rFonts w:hint="eastAsia" w:cs="Times New Roman"/>
          <w:sz w:val="24"/>
          <w:szCs w:val="24"/>
          <w:lang w:val="en-US" w:eastAsia="zh-CN"/>
        </w:rPr>
        <w:t>将本文件议题下的专题披露项（即标题所指的指标）对照IFRS、ESRS、国证ESG、GRI、港交所的ESG信息披露框架，旨在说明该指标的主流披露框架覆盖率、适用性以及其科学合理性。</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630"/>
        <w:gridCol w:w="1480"/>
        <w:gridCol w:w="1476"/>
        <w:gridCol w:w="1387"/>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p>
        </w:tc>
        <w:tc>
          <w:tcPr>
            <w:tcW w:w="2654" w:type="dxa"/>
          </w:tcPr>
          <w:p>
            <w:pPr>
              <w:spacing w:line="240" w:lineRule="auto"/>
              <w:jc w:val="center"/>
              <w:rPr>
                <w:rFonts w:hint="default" w:ascii="Times New Roman" w:hAnsi="Times New Roman" w:eastAsia="宋体"/>
                <w:b w:val="0"/>
                <w:bCs w:val="0"/>
                <w:sz w:val="18"/>
                <w:szCs w:val="18"/>
                <w:lang w:val="en-US" w:eastAsia="zh-CN"/>
              </w:rPr>
            </w:pPr>
            <w:r>
              <w:rPr>
                <w:rFonts w:hint="default" w:ascii="Times New Roman" w:hAnsi="Times New Roman" w:eastAsia="宋体"/>
                <w:b w:val="0"/>
                <w:bCs w:val="0"/>
                <w:sz w:val="18"/>
                <w:szCs w:val="18"/>
                <w:lang w:val="en-US" w:eastAsia="zh-CN"/>
              </w:rPr>
              <w:t>IFRS</w:t>
            </w:r>
          </w:p>
        </w:tc>
        <w:tc>
          <w:tcPr>
            <w:tcW w:w="230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ESRS</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国证ESG</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港交所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社区管理</w:t>
            </w:r>
          </w:p>
        </w:tc>
        <w:tc>
          <w:tcPr>
            <w:tcW w:w="2654" w:type="dxa"/>
          </w:tcPr>
          <w:p>
            <w:pPr>
              <w:spacing w:line="240" w:lineRule="auto"/>
              <w:jc w:val="center"/>
              <w:rPr>
                <w:rFonts w:hint="default" w:ascii="Times New Roman" w:hAnsi="Times New Roman" w:eastAsia="宋体"/>
                <w:b w:val="0"/>
                <w:bCs w:val="0"/>
                <w:sz w:val="18"/>
                <w:szCs w:val="18"/>
                <w:lang w:val="en-US" w:eastAsia="zh-CN"/>
              </w:rPr>
            </w:pPr>
          </w:p>
        </w:tc>
        <w:tc>
          <w:tcPr>
            <w:tcW w:w="2306"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披露要求S3 受影响的社区</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3 补救负面影响的过程以及受影响社区提出担忧的渠道</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5与管理重大负面影响、推进积极影响以及管理重大风险和机遇相关的目标</w:t>
            </w:r>
          </w:p>
          <w:p>
            <w:pPr>
              <w:spacing w:line="240" w:lineRule="auto"/>
              <w:jc w:val="center"/>
              <w:rPr>
                <w:rFonts w:hint="default" w:ascii="Times New Roman" w:hAnsi="Times New Roman" w:eastAsia="宋体"/>
                <w:b w:val="0"/>
                <w:bCs w:val="0"/>
                <w:sz w:val="18"/>
                <w:szCs w:val="18"/>
                <w:lang w:val="en-US" w:eastAsia="zh-CN"/>
              </w:rPr>
            </w:pP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413 当地社区</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社区参与-社区投资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扶贫与公益</w:t>
            </w:r>
          </w:p>
        </w:tc>
        <w:tc>
          <w:tcPr>
            <w:tcW w:w="2654" w:type="dxa"/>
          </w:tcPr>
          <w:p>
            <w:pPr>
              <w:spacing w:line="240" w:lineRule="auto"/>
              <w:jc w:val="center"/>
              <w:rPr>
                <w:rFonts w:hint="default" w:ascii="Times New Roman" w:hAnsi="Times New Roman" w:eastAsia="宋体"/>
                <w:b w:val="0"/>
                <w:bCs w:val="0"/>
                <w:sz w:val="18"/>
                <w:szCs w:val="18"/>
                <w:lang w:val="en-US" w:eastAsia="zh-CN"/>
              </w:rPr>
            </w:pPr>
          </w:p>
        </w:tc>
        <w:tc>
          <w:tcPr>
            <w:tcW w:w="2306"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披露要求S3 受影响的社区</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5与管理重大负面影响、推进积极影响以及管理重大风险和机遇相关的目标</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社会贡献-公益事业</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415 公共政策</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社区参与-社区投资</w:t>
            </w:r>
          </w:p>
        </w:tc>
      </w:tr>
    </w:tbl>
    <w:p>
      <w:pPr>
        <w:pStyle w:val="5"/>
        <w:rPr>
          <w:rFonts w:hint="default"/>
          <w:lang w:val="en-US" w:eastAsia="zh-CN"/>
        </w:rPr>
      </w:pPr>
      <w:r>
        <w:rPr>
          <w:rFonts w:hint="eastAsia"/>
          <w:lang w:val="en-US" w:eastAsia="zh-CN"/>
        </w:rPr>
        <w:t>2.8.5.3战略、目标与举措</w:t>
      </w:r>
    </w:p>
    <w:p>
      <w:pPr>
        <w:ind w:firstLine="480" w:firstLineChars="200"/>
        <w:rPr>
          <w:rFonts w:hint="default"/>
          <w:b/>
          <w:bCs/>
          <w:highlight w:val="yellow"/>
          <w:lang w:val="en-US" w:eastAsia="zh-CN"/>
        </w:rPr>
      </w:pPr>
      <w:r>
        <w:rPr>
          <w:rFonts w:hint="eastAsia"/>
          <w:highlight w:val="none"/>
          <w:vertAlign w:val="baseline"/>
          <w:lang w:val="en-US" w:eastAsia="zh-CN"/>
        </w:rPr>
        <w:t>具体到社区管理议题。就企业自身与外部环境而言，均属于风险与机遇并存。因而对于建筑材料企业来说，应根据企业自身状况，选择SO、ST 、WO 、WT战略。社区参与是企业可持续发展战略的基石。建筑材料企业可通过捐赠、志愿服务和能力建设的方式，助力巩固扶贫成果和助推乡村振兴、支持发展全员综合教育、推进教育与数字化的公平，以及利用自身的核心能力赋能公益组织，以惠及更多受助群体。</w:t>
      </w:r>
    </w:p>
    <w:p>
      <w:pPr>
        <w:pStyle w:val="5"/>
        <w:rPr>
          <w:rFonts w:hint="default"/>
          <w:lang w:val="en-US" w:eastAsia="zh-CN"/>
        </w:rPr>
      </w:pPr>
      <w:r>
        <w:rPr>
          <w:rFonts w:hint="eastAsia"/>
          <w:lang w:val="en-US" w:eastAsia="zh-CN"/>
        </w:rPr>
        <w:t>2.8.5.4特定行业指南</w:t>
      </w:r>
    </w:p>
    <w:p>
      <w:pPr>
        <w:widowControl w:val="0"/>
        <w:numPr>
          <w:ilvl w:val="0"/>
          <w:numId w:val="0"/>
        </w:numPr>
        <w:spacing w:line="36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表11 特定行业社区影响战略信息披露与评级指标要求</w:t>
      </w:r>
    </w:p>
    <w:tbl>
      <w:tblPr>
        <w:tblStyle w:val="24"/>
        <w:tblW w:w="8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6"/>
        <w:gridCol w:w="2175"/>
        <w:gridCol w:w="2295"/>
        <w:gridCol w:w="2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1846" w:type="dxa"/>
          </w:tcPr>
          <w:p>
            <w:pPr>
              <w:spacing w:line="240" w:lineRule="auto"/>
              <w:jc w:val="center"/>
              <w:rPr>
                <w:rFonts w:hint="default" w:ascii="Times New Roman" w:hAnsi="Times New Roman" w:eastAsia="宋体"/>
                <w:b w:val="0"/>
                <w:bCs w:val="0"/>
                <w:sz w:val="18"/>
                <w:szCs w:val="18"/>
                <w:lang w:val="en-US" w:eastAsia="zh-CN"/>
              </w:rPr>
            </w:pPr>
          </w:p>
        </w:tc>
        <w:tc>
          <w:tcPr>
            <w:tcW w:w="217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披露框架</w:t>
            </w:r>
          </w:p>
        </w:tc>
        <w:tc>
          <w:tcPr>
            <w:tcW w:w="4380" w:type="dxa"/>
            <w:gridSpan w:val="2"/>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评级框架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846" w:type="dxa"/>
          </w:tcPr>
          <w:p>
            <w:pPr>
              <w:spacing w:line="240" w:lineRule="auto"/>
              <w:jc w:val="center"/>
              <w:rPr>
                <w:rFonts w:hint="default" w:ascii="Times New Roman" w:hAnsi="Times New Roman" w:eastAsia="宋体"/>
                <w:b w:val="0"/>
                <w:bCs w:val="0"/>
                <w:sz w:val="18"/>
                <w:szCs w:val="18"/>
                <w:lang w:val="en-US" w:eastAsia="zh-CN"/>
              </w:rPr>
            </w:pPr>
          </w:p>
        </w:tc>
        <w:tc>
          <w:tcPr>
            <w:tcW w:w="217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IFRS</w:t>
            </w:r>
          </w:p>
        </w:tc>
        <w:tc>
          <w:tcPr>
            <w:tcW w:w="229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MSCI</w:t>
            </w:r>
          </w:p>
        </w:tc>
        <w:tc>
          <w:tcPr>
            <w:tcW w:w="208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CSA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184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建筑原材料</w:t>
            </w:r>
          </w:p>
        </w:tc>
        <w:tc>
          <w:tcPr>
            <w:tcW w:w="217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tc>
        <w:tc>
          <w:tcPr>
            <w:tcW w:w="229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社区关系</w:t>
            </w:r>
          </w:p>
        </w:tc>
        <w:tc>
          <w:tcPr>
            <w:tcW w:w="208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企业身份与慈善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84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建筑部品产品</w:t>
            </w:r>
          </w:p>
        </w:tc>
        <w:tc>
          <w:tcPr>
            <w:tcW w:w="217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tc>
        <w:tc>
          <w:tcPr>
            <w:tcW w:w="229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tc>
        <w:tc>
          <w:tcPr>
            <w:tcW w:w="208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企业身份与慈善</w:t>
            </w:r>
          </w:p>
        </w:tc>
      </w:tr>
    </w:tbl>
    <w:p>
      <w:pPr>
        <w:pStyle w:val="3"/>
        <w:spacing w:line="360" w:lineRule="auto"/>
        <w:rPr>
          <w:rFonts w:hint="eastAsia"/>
          <w:lang w:val="en-US" w:eastAsia="zh-CN"/>
        </w:rPr>
      </w:pPr>
      <w:r>
        <w:rPr>
          <w:rFonts w:hint="default"/>
        </w:rPr>
        <w:t>2</w:t>
      </w:r>
      <w:r>
        <w:rPr>
          <w:rFonts w:hint="eastAsia"/>
          <w:lang w:val="en-US" w:eastAsia="zh-Hans"/>
        </w:rPr>
        <w:t>.</w:t>
      </w:r>
      <w:r>
        <w:rPr>
          <w:rFonts w:hint="default"/>
          <w:lang w:eastAsia="zh-Hans"/>
        </w:rPr>
        <w:t xml:space="preserve">9 </w:t>
      </w:r>
      <w:r>
        <w:rPr>
          <w:rFonts w:hint="eastAsia"/>
          <w:lang w:val="en-US" w:eastAsia="zh-CN"/>
        </w:rPr>
        <w:t>公司治理</w:t>
      </w:r>
    </w:p>
    <w:p>
      <w:pPr>
        <w:pStyle w:val="4"/>
        <w:rPr>
          <w:rFonts w:hint="default" w:ascii="Times New Roman" w:hAnsi="Times New Roman"/>
          <w:lang w:val="en-US" w:eastAsia="zh-CN"/>
        </w:rPr>
      </w:pPr>
      <w:bookmarkStart w:id="5" w:name="_Toc6622"/>
      <w:r>
        <w:rPr>
          <w:rFonts w:hint="eastAsia" w:ascii="Times New Roman" w:hAnsi="Times New Roman"/>
          <w:lang w:val="en-US" w:eastAsia="zh-CN"/>
        </w:rPr>
        <w:t>2.9.1 治理</w:t>
      </w:r>
      <w:bookmarkEnd w:id="5"/>
      <w:r>
        <w:rPr>
          <w:rFonts w:hint="eastAsia" w:ascii="Times New Roman" w:hAnsi="Times New Roman"/>
          <w:lang w:val="en-US" w:eastAsia="zh-CN"/>
        </w:rPr>
        <w:t>机制</w:t>
      </w:r>
    </w:p>
    <w:p>
      <w:pPr>
        <w:pStyle w:val="5"/>
        <w:rPr>
          <w:rFonts w:hint="default"/>
          <w:lang w:val="en-US" w:eastAsia="zh-CN"/>
        </w:rPr>
      </w:pPr>
      <w:r>
        <w:rPr>
          <w:rFonts w:hint="eastAsia"/>
          <w:lang w:val="en-US" w:eastAsia="zh-CN"/>
        </w:rPr>
        <w:t>2.9.1.1 披露项的设置</w:t>
      </w:r>
    </w:p>
    <w:p>
      <w:pPr>
        <w:ind w:firstLine="420" w:firstLineChars="0"/>
        <w:rPr>
          <w:rFonts w:hint="default" w:ascii="宋体" w:hAnsi="宋体" w:eastAsia="宋体" w:cs="宋体"/>
          <w:sz w:val="24"/>
          <w:szCs w:val="24"/>
          <w:lang w:val="en-US" w:eastAsia="zh-CN"/>
        </w:rPr>
      </w:pPr>
      <w:r>
        <w:rPr>
          <w:rFonts w:hint="eastAsia"/>
          <w:lang w:val="en-US" w:eastAsia="zh-CN"/>
        </w:rPr>
        <w:t>治理机制是保障企业的治理主体和治理结构有效发挥功能的规则和运行体系。企业需建立分工负责、权责清晰的治理架构，尊重股东的权利并建立有效的沟通机制来帮助股东行使权利，建立与绩效相挂钩的高管薪酬激励机制，同时建立有效透明的规则保障治理机制的良好运行。</w:t>
      </w:r>
      <w:r>
        <w:rPr>
          <w:rFonts w:ascii="宋体" w:hAnsi="宋体" w:eastAsia="宋体" w:cs="宋体"/>
          <w:sz w:val="24"/>
          <w:szCs w:val="24"/>
        </w:rPr>
        <w:t>建筑材料行业的企业</w:t>
      </w:r>
      <w:r>
        <w:rPr>
          <w:rFonts w:hint="eastAsia" w:ascii="宋体" w:hAnsi="宋体" w:cs="宋体"/>
          <w:sz w:val="24"/>
          <w:szCs w:val="24"/>
          <w:lang w:val="en-US" w:eastAsia="zh-CN"/>
        </w:rPr>
        <w:t>通过在</w:t>
      </w:r>
      <w:r>
        <w:rPr>
          <w:rFonts w:ascii="宋体" w:hAnsi="宋体" w:eastAsia="宋体" w:cs="宋体"/>
          <w:sz w:val="24"/>
          <w:szCs w:val="24"/>
        </w:rPr>
        <w:t>披露中强调“</w:t>
      </w:r>
      <w:r>
        <w:rPr>
          <w:rFonts w:hint="eastAsia"/>
        </w:rPr>
        <w:t>治理</w:t>
      </w:r>
      <w:r>
        <w:rPr>
          <w:rFonts w:hint="eastAsia"/>
          <w:lang w:val="en-US" w:eastAsia="zh-CN"/>
        </w:rPr>
        <w:t>机制</w:t>
      </w:r>
      <w:r>
        <w:rPr>
          <w:rFonts w:ascii="宋体" w:hAnsi="宋体" w:eastAsia="宋体" w:cs="宋体"/>
          <w:sz w:val="24"/>
          <w:szCs w:val="24"/>
        </w:rPr>
        <w:t>”议题</w:t>
      </w:r>
      <w:r>
        <w:rPr>
          <w:rFonts w:hint="eastAsia" w:ascii="宋体" w:hAnsi="宋体" w:cs="宋体"/>
          <w:sz w:val="24"/>
          <w:szCs w:val="24"/>
          <w:lang w:eastAsia="zh-CN"/>
        </w:rPr>
        <w:t>，</w:t>
      </w:r>
      <w:r>
        <w:rPr>
          <w:rFonts w:hint="eastAsia" w:ascii="宋体" w:hAnsi="宋体" w:cs="宋体"/>
          <w:sz w:val="24"/>
          <w:szCs w:val="24"/>
          <w:lang w:val="en-US" w:eastAsia="zh-CN"/>
        </w:rPr>
        <w:t>可展示其</w:t>
      </w:r>
      <w:r>
        <w:rPr>
          <w:rFonts w:ascii="宋体" w:hAnsi="宋体" w:eastAsia="宋体" w:cs="宋体"/>
          <w:sz w:val="24"/>
          <w:szCs w:val="24"/>
        </w:rPr>
        <w:t>对可持续和责任经营的承诺。通过这些措施，企业能够更好地平衡经济效益与环境和社会责任</w:t>
      </w:r>
      <w:r>
        <w:rPr>
          <w:rFonts w:hint="eastAsia" w:ascii="宋体" w:hAnsi="宋体" w:cs="宋体"/>
          <w:sz w:val="24"/>
          <w:szCs w:val="24"/>
          <w:lang w:eastAsia="zh-CN"/>
        </w:rPr>
        <w:t>，</w:t>
      </w:r>
      <w:r>
        <w:rPr>
          <w:rFonts w:hint="eastAsia" w:ascii="宋体" w:hAnsi="宋体" w:cs="宋体"/>
          <w:sz w:val="24"/>
          <w:szCs w:val="24"/>
          <w:lang w:val="en-US" w:eastAsia="zh-CN"/>
        </w:rPr>
        <w:t>实现长远的持续发展。</w:t>
      </w:r>
    </w:p>
    <w:p>
      <w:pPr>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在</w:t>
      </w:r>
      <w:r>
        <w:rPr>
          <w:rFonts w:ascii="宋体" w:hAnsi="宋体" w:eastAsia="宋体" w:cs="宋体"/>
          <w:sz w:val="24"/>
          <w:szCs w:val="24"/>
        </w:rPr>
        <w:t>“</w:t>
      </w:r>
      <w:r>
        <w:rPr>
          <w:rFonts w:hint="eastAsia"/>
        </w:rPr>
        <w:t>治理</w:t>
      </w:r>
      <w:r>
        <w:rPr>
          <w:rFonts w:hint="eastAsia"/>
          <w:lang w:val="en-US" w:eastAsia="zh-CN"/>
        </w:rPr>
        <w:t>机制</w:t>
      </w:r>
      <w:r>
        <w:rPr>
          <w:rFonts w:ascii="宋体" w:hAnsi="宋体" w:eastAsia="宋体" w:cs="宋体"/>
          <w:sz w:val="24"/>
          <w:szCs w:val="24"/>
        </w:rPr>
        <w:t>”议题</w:t>
      </w:r>
      <w:r>
        <w:rPr>
          <w:rFonts w:hint="eastAsia" w:ascii="宋体" w:hAnsi="宋体" w:cs="宋体"/>
          <w:sz w:val="24"/>
          <w:szCs w:val="24"/>
          <w:lang w:val="en-US" w:eastAsia="zh-CN"/>
        </w:rPr>
        <w:t>下设置“</w:t>
      </w:r>
      <w:r>
        <w:rPr>
          <w:rFonts w:hint="eastAsia"/>
          <w:lang w:val="en-US" w:eastAsia="zh-CN"/>
        </w:rPr>
        <w:t>治理架构”“合规管理”“高管薪酬”</w:t>
      </w:r>
      <w:r>
        <w:rPr>
          <w:rFonts w:ascii="宋体" w:hAnsi="宋体" w:eastAsia="宋体" w:cs="宋体"/>
          <w:sz w:val="24"/>
          <w:szCs w:val="24"/>
        </w:rPr>
        <w:t>“</w:t>
      </w:r>
      <w:r>
        <w:rPr>
          <w:rFonts w:hint="eastAsia" w:ascii="宋体" w:hAnsi="宋体" w:cs="宋体"/>
          <w:sz w:val="24"/>
          <w:szCs w:val="24"/>
          <w:lang w:val="en-US" w:eastAsia="zh-CN"/>
        </w:rPr>
        <w:t>ESG管理</w:t>
      </w:r>
      <w:r>
        <w:rPr>
          <w:rFonts w:ascii="宋体" w:hAnsi="宋体" w:eastAsia="宋体" w:cs="宋体"/>
          <w:sz w:val="24"/>
          <w:szCs w:val="24"/>
        </w:rPr>
        <w:t>”“</w:t>
      </w:r>
      <w:r>
        <w:rPr>
          <w:rFonts w:hint="eastAsia" w:ascii="宋体" w:hAnsi="宋体" w:cs="宋体"/>
          <w:sz w:val="24"/>
          <w:szCs w:val="24"/>
          <w:lang w:val="en-US" w:eastAsia="zh-CN"/>
        </w:rPr>
        <w:t>风险管理</w:t>
      </w:r>
      <w:r>
        <w:rPr>
          <w:rFonts w:ascii="宋体" w:hAnsi="宋体" w:eastAsia="宋体" w:cs="宋体"/>
          <w:sz w:val="24"/>
          <w:szCs w:val="24"/>
        </w:rPr>
        <w:t>”</w:t>
      </w:r>
      <w:r>
        <w:rPr>
          <w:rFonts w:hint="eastAsia" w:ascii="宋体" w:hAnsi="宋体" w:cs="宋体"/>
          <w:sz w:val="24"/>
          <w:szCs w:val="24"/>
          <w:lang w:val="en-US" w:eastAsia="zh-CN"/>
        </w:rPr>
        <w:t>五个披露项。</w:t>
      </w:r>
    </w:p>
    <w:p>
      <w:pPr>
        <w:ind w:firstLine="482" w:firstLineChars="200"/>
        <w:rPr>
          <w:rFonts w:hint="eastAsia" w:ascii="宋体" w:hAnsi="宋体" w:cs="宋体"/>
          <w:sz w:val="24"/>
          <w:szCs w:val="24"/>
          <w:lang w:val="en-US" w:eastAsia="zh-CN"/>
        </w:rPr>
      </w:pPr>
      <w:r>
        <w:rPr>
          <w:rFonts w:hint="eastAsia" w:ascii="宋体" w:hAnsi="宋体" w:cs="宋体"/>
          <w:b/>
          <w:bCs/>
          <w:sz w:val="24"/>
          <w:szCs w:val="24"/>
          <w:lang w:val="en-US" w:eastAsia="zh-CN"/>
        </w:rPr>
        <w:t>治理架构：</w:t>
      </w:r>
      <w:r>
        <w:rPr>
          <w:rFonts w:hint="eastAsia" w:ascii="宋体" w:hAnsi="宋体" w:cs="宋体"/>
          <w:sz w:val="24"/>
          <w:szCs w:val="24"/>
          <w:lang w:val="en-US" w:eastAsia="zh-CN"/>
        </w:rPr>
        <w:t>治理架构是一种对公司进行管理和控制的体系。是由企业所有者（股东会）、董事会和高级管理人员（经理层）三者组成的一种组织结构。其中股东会是公司的最高权力机构，董事会是由股东大会选举产生的公司决策和管理机构，高级管理人员是董事会领导下的管理和执行机构。分工负责、权责清晰的治理架构将统提高公司的经营韧性，增强利益相关方的信心。</w:t>
      </w:r>
    </w:p>
    <w:p>
      <w:pPr>
        <w:ind w:firstLine="482" w:firstLineChars="200"/>
        <w:rPr>
          <w:rFonts w:hint="eastAsia" w:ascii="宋体" w:hAnsi="宋体" w:cs="宋体"/>
          <w:sz w:val="24"/>
          <w:szCs w:val="24"/>
          <w:lang w:val="en-US" w:eastAsia="zh-CN"/>
        </w:rPr>
      </w:pPr>
      <w:r>
        <w:rPr>
          <w:rFonts w:hint="eastAsia" w:ascii="宋体" w:hAnsi="宋体" w:cs="宋体"/>
          <w:b/>
          <w:bCs/>
          <w:sz w:val="24"/>
          <w:szCs w:val="24"/>
          <w:lang w:val="en-US" w:eastAsia="zh-CN"/>
        </w:rPr>
        <w:t>合规管理：</w:t>
      </w:r>
      <w:r>
        <w:rPr>
          <w:rFonts w:hint="eastAsia" w:ascii="宋体" w:hAnsi="宋体" w:cs="宋体"/>
          <w:sz w:val="24"/>
          <w:szCs w:val="24"/>
          <w:lang w:val="en-US" w:eastAsia="zh-CN"/>
        </w:rPr>
        <w:t>科学合理的ESG合规体系，能够有效识别和防范企业在环境、社会与治理层面的风险，全方位提升企业在ESG各维度的业绩表现。企业应当重视构建ESG合规理念、加强ESG合规治理、规范ESG信息披露，从ESG合规管理的全方位多角度切入，持续加强战略研究和政策趋势研判，自觉将ESG理念融入企业发展当中，全面构建ESG合规管理体系，提升企业风险防控能力，实现企业高质量发展。</w:t>
      </w:r>
    </w:p>
    <w:p>
      <w:pPr>
        <w:ind w:firstLine="482" w:firstLineChars="200"/>
        <w:rPr>
          <w:rFonts w:hint="default" w:ascii="宋体" w:hAnsi="宋体" w:cs="宋体"/>
          <w:sz w:val="24"/>
          <w:szCs w:val="24"/>
          <w:lang w:val="en-US" w:eastAsia="zh-CN"/>
        </w:rPr>
      </w:pPr>
      <w:r>
        <w:rPr>
          <w:rFonts w:hint="eastAsia" w:ascii="宋体" w:hAnsi="宋体" w:eastAsia="宋体" w:cs="宋体"/>
          <w:b/>
          <w:bCs/>
          <w:sz w:val="24"/>
          <w:szCs w:val="24"/>
          <w:lang w:val="en-US" w:eastAsia="zh-CN"/>
        </w:rPr>
        <w:t>高管薪酬：</w:t>
      </w:r>
      <w:r>
        <w:rPr>
          <w:rFonts w:hint="eastAsia" w:ascii="宋体" w:hAnsi="宋体" w:cs="宋体"/>
          <w:sz w:val="24"/>
          <w:szCs w:val="24"/>
          <w:lang w:val="en-US" w:eastAsia="zh-CN"/>
        </w:rPr>
        <w:t>越来越多投资方认为ESG 绩效指标和目标应包含在高管薪酬构成中。近年来全球多家大型企业已陆续宣布高管的薪酬会与公司ESG绩效表现挂钩。即ESG做的好，高管将有更多奖金激励，ESG表现差，也将有可能受罚。目前，苹果、大众等大型跨国企业已明确宣布将ESG指标纳入管理层的奖金计算，为实现公司可持续发展目标提供具体的激励措施。</w:t>
      </w:r>
    </w:p>
    <w:p>
      <w:pPr>
        <w:ind w:firstLine="480"/>
        <w:rPr>
          <w:rFonts w:hint="eastAsia" w:ascii="宋体" w:hAnsi="宋体" w:cs="宋体"/>
          <w:sz w:val="24"/>
          <w:szCs w:val="24"/>
          <w:lang w:eastAsia="zh-CN"/>
        </w:rPr>
      </w:pPr>
      <w:r>
        <w:rPr>
          <w:rStyle w:val="26"/>
          <w:rFonts w:ascii="宋体" w:hAnsi="宋体" w:eastAsia="宋体" w:cs="宋体"/>
          <w:sz w:val="24"/>
          <w:szCs w:val="24"/>
        </w:rPr>
        <w:t>ESG管理</w:t>
      </w:r>
      <w:r>
        <w:rPr>
          <w:rFonts w:ascii="宋体" w:hAnsi="宋体" w:eastAsia="宋体" w:cs="宋体"/>
          <w:sz w:val="24"/>
          <w:szCs w:val="24"/>
        </w:rPr>
        <w:t>：有效的ESG管理是企业可持续性和</w:t>
      </w:r>
      <w:r>
        <w:rPr>
          <w:rFonts w:hint="eastAsia" w:ascii="宋体" w:hAnsi="宋体" w:cs="宋体"/>
          <w:sz w:val="24"/>
          <w:szCs w:val="24"/>
          <w:lang w:val="en-US" w:eastAsia="zh-CN"/>
        </w:rPr>
        <w:t>履行</w:t>
      </w:r>
      <w:r>
        <w:rPr>
          <w:rFonts w:ascii="宋体" w:hAnsi="宋体" w:eastAsia="宋体" w:cs="宋体"/>
          <w:sz w:val="24"/>
          <w:szCs w:val="24"/>
        </w:rPr>
        <w:t>责任的关键指标。这</w:t>
      </w:r>
      <w:r>
        <w:rPr>
          <w:rFonts w:hint="eastAsia" w:ascii="宋体" w:hAnsi="宋体" w:cs="宋体"/>
          <w:sz w:val="24"/>
          <w:szCs w:val="24"/>
          <w:lang w:val="en-US" w:eastAsia="zh-CN"/>
        </w:rPr>
        <w:t>既</w:t>
      </w:r>
      <w:r>
        <w:rPr>
          <w:rFonts w:ascii="宋体" w:hAnsi="宋体" w:eastAsia="宋体" w:cs="宋体"/>
          <w:sz w:val="24"/>
          <w:szCs w:val="24"/>
        </w:rPr>
        <w:t>关乎环境保护，</w:t>
      </w:r>
      <w:r>
        <w:rPr>
          <w:rFonts w:hint="eastAsia" w:ascii="宋体" w:hAnsi="宋体" w:cs="宋体"/>
          <w:sz w:val="24"/>
          <w:szCs w:val="24"/>
          <w:lang w:val="en-US" w:eastAsia="zh-CN"/>
        </w:rPr>
        <w:t>又</w:t>
      </w:r>
      <w:r>
        <w:rPr>
          <w:rFonts w:ascii="宋体" w:hAnsi="宋体" w:eastAsia="宋体" w:cs="宋体"/>
          <w:sz w:val="24"/>
          <w:szCs w:val="24"/>
        </w:rPr>
        <w:t>涉及到社会责任和良好的公司治理，这些因素共同影响着企业的声誉、合规性和市场竞争力。通过强化ESG管理，企业能够提前识别和减轻潜在的环境和社会风险，增强企业适应性和竞争力。这种透明度和责任感加强了与利益相关者的关系，提高了企业声誉，并有助于吸引负责任的投资</w:t>
      </w:r>
      <w:r>
        <w:rPr>
          <w:rFonts w:hint="eastAsia" w:ascii="宋体" w:hAnsi="宋体" w:cs="宋体"/>
          <w:sz w:val="24"/>
          <w:szCs w:val="24"/>
          <w:lang w:eastAsia="zh-CN"/>
        </w:rPr>
        <w:t>。</w:t>
      </w:r>
    </w:p>
    <w:p>
      <w:pPr>
        <w:ind w:firstLine="480"/>
        <w:rPr>
          <w:rFonts w:hint="eastAsia"/>
          <w:b/>
          <w:bCs/>
          <w:highlight w:val="yellow"/>
          <w:lang w:val="en-US" w:eastAsia="zh-CN"/>
        </w:rPr>
      </w:pPr>
      <w:r>
        <w:rPr>
          <w:rStyle w:val="26"/>
          <w:rFonts w:ascii="宋体" w:hAnsi="宋体" w:eastAsia="宋体" w:cs="宋体"/>
          <w:sz w:val="24"/>
          <w:szCs w:val="24"/>
        </w:rPr>
        <w:t>风险管理</w:t>
      </w:r>
      <w:r>
        <w:rPr>
          <w:rFonts w:ascii="宋体" w:hAnsi="宋体" w:eastAsia="宋体" w:cs="宋体"/>
          <w:sz w:val="24"/>
          <w:szCs w:val="24"/>
        </w:rPr>
        <w:t>：建筑材料行业面临多种内外部风险，包括市场波动、资源短缺、环境事故、气候变化影响以及合规问题。有效的风险管理策略是确保企业稳健运营和长期成功的</w:t>
      </w:r>
      <w:r>
        <w:rPr>
          <w:rFonts w:hint="eastAsia" w:ascii="宋体" w:hAnsi="宋体" w:cs="宋体"/>
          <w:sz w:val="24"/>
          <w:szCs w:val="24"/>
          <w:lang w:val="en-US" w:eastAsia="zh-CN"/>
        </w:rPr>
        <w:t>基础</w:t>
      </w:r>
      <w:r>
        <w:rPr>
          <w:rFonts w:ascii="宋体" w:hAnsi="宋体" w:eastAsia="宋体" w:cs="宋体"/>
          <w:sz w:val="24"/>
          <w:szCs w:val="24"/>
        </w:rPr>
        <w:t>。通过全面的风险管理，企业能够保护自身免受突发事件的冲击，</w:t>
      </w:r>
      <w:r>
        <w:rPr>
          <w:rFonts w:hint="eastAsia" w:ascii="宋体" w:hAnsi="宋体" w:cs="宋体"/>
          <w:sz w:val="24"/>
          <w:szCs w:val="24"/>
          <w:lang w:val="en-US" w:eastAsia="zh-CN"/>
        </w:rPr>
        <w:t>并</w:t>
      </w:r>
      <w:r>
        <w:rPr>
          <w:rFonts w:ascii="宋体" w:hAnsi="宋体" w:eastAsia="宋体" w:cs="宋体"/>
          <w:sz w:val="24"/>
          <w:szCs w:val="24"/>
        </w:rPr>
        <w:t>确保其运营和供应链的稳定性。这种稳健的管理方法提高了企业的韧性，有助于在不确定的市场环境中保持竞争力。</w:t>
      </w:r>
    </w:p>
    <w:p>
      <w:pPr>
        <w:pStyle w:val="5"/>
        <w:rPr>
          <w:rFonts w:hint="eastAsia"/>
          <w:lang w:val="en-US" w:eastAsia="zh-CN"/>
        </w:rPr>
      </w:pPr>
      <w:r>
        <w:rPr>
          <w:rFonts w:hint="eastAsia"/>
          <w:lang w:val="en-US" w:eastAsia="zh-CN"/>
        </w:rPr>
        <w:t>2.9.1.2 指标的选取</w:t>
      </w:r>
    </w:p>
    <w:p>
      <w:pPr>
        <w:ind w:firstLine="420" w:firstLineChars="0"/>
        <w:rPr>
          <w:rFonts w:hint="default"/>
          <w:b/>
          <w:bCs/>
          <w:highlight w:val="yellow"/>
          <w:lang w:val="en-US" w:eastAsia="zh-CN"/>
        </w:rPr>
      </w:pPr>
      <w:r>
        <w:rPr>
          <w:rFonts w:hint="eastAsia" w:cs="Times New Roman"/>
          <w:sz w:val="24"/>
          <w:szCs w:val="24"/>
          <w:lang w:val="en-US" w:eastAsia="zh-CN"/>
        </w:rPr>
        <w:t>将本文件议题下的专题披露项（即标题所指的指标）对照IFRS、ESRS、国证ESG、GRI、港交所的ESG信息披露框架，旨在说明该指标的主流披露框架覆盖率、适用性以及其科学合理性。</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1614"/>
        <w:gridCol w:w="1467"/>
        <w:gridCol w:w="1462"/>
        <w:gridCol w:w="1374"/>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p>
        </w:tc>
        <w:tc>
          <w:tcPr>
            <w:tcW w:w="2654" w:type="dxa"/>
          </w:tcPr>
          <w:p>
            <w:pPr>
              <w:spacing w:line="240" w:lineRule="auto"/>
              <w:jc w:val="center"/>
              <w:rPr>
                <w:rFonts w:hint="default" w:ascii="Times New Roman" w:hAnsi="Times New Roman" w:eastAsia="宋体"/>
                <w:b w:val="0"/>
                <w:bCs w:val="0"/>
                <w:sz w:val="18"/>
                <w:szCs w:val="18"/>
                <w:lang w:val="en-US" w:eastAsia="zh-CN"/>
              </w:rPr>
            </w:pPr>
            <w:r>
              <w:rPr>
                <w:rFonts w:hint="default" w:ascii="Times New Roman" w:hAnsi="Times New Roman" w:eastAsia="宋体"/>
                <w:b w:val="0"/>
                <w:bCs w:val="0"/>
                <w:sz w:val="18"/>
                <w:szCs w:val="18"/>
                <w:lang w:val="en-US" w:eastAsia="zh-CN"/>
              </w:rPr>
              <w:t>IFRS</w:t>
            </w:r>
          </w:p>
        </w:tc>
        <w:tc>
          <w:tcPr>
            <w:tcW w:w="230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ESRS</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国证ESG</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港交所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ESG管理</w:t>
            </w:r>
          </w:p>
        </w:tc>
        <w:tc>
          <w:tcPr>
            <w:tcW w:w="2654" w:type="dxa"/>
          </w:tcPr>
          <w:p>
            <w:pPr>
              <w:spacing w:line="240" w:lineRule="auto"/>
              <w:jc w:val="center"/>
              <w:rPr>
                <w:rFonts w:hint="default" w:ascii="Times New Roman" w:hAnsi="Times New Roman" w:eastAsia="宋体"/>
                <w:b w:val="0"/>
                <w:bCs w:val="0"/>
                <w:sz w:val="18"/>
                <w:szCs w:val="18"/>
                <w:lang w:val="en-US" w:eastAsia="zh-CN"/>
              </w:rPr>
            </w:pPr>
          </w:p>
        </w:tc>
        <w:tc>
          <w:tcPr>
            <w:tcW w:w="2306"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披露要求G1 商业行为</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1 公司文化与公司行为政策</w:t>
            </w:r>
          </w:p>
        </w:tc>
        <w:tc>
          <w:tcPr>
            <w:tcW w:w="2387"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董监高治理-治理结构</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董监高治理-治理信息</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ESG治理-治理内容</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ESG治理-治理成效</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102 一般披露</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风险管理</w:t>
            </w:r>
          </w:p>
        </w:tc>
        <w:tc>
          <w:tcPr>
            <w:tcW w:w="2654" w:type="dxa"/>
          </w:tcPr>
          <w:p>
            <w:pPr>
              <w:spacing w:line="240" w:lineRule="auto"/>
              <w:jc w:val="center"/>
              <w:rPr>
                <w:rFonts w:hint="default" w:ascii="Times New Roman" w:hAnsi="Times New Roman" w:eastAsia="宋体"/>
                <w:b w:val="0"/>
                <w:bCs w:val="0"/>
                <w:sz w:val="18"/>
                <w:szCs w:val="18"/>
                <w:lang w:val="en-US" w:eastAsia="zh-CN"/>
              </w:rPr>
            </w:pPr>
          </w:p>
        </w:tc>
        <w:tc>
          <w:tcPr>
            <w:tcW w:w="2306"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披露要求G1 商业行为</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1 公司文化与公司行为政策</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风险管理-风险管理</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102 一般披露</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r>
    </w:tbl>
    <w:p>
      <w:pPr>
        <w:widowControl w:val="0"/>
        <w:numPr>
          <w:ilvl w:val="0"/>
          <w:numId w:val="0"/>
        </w:numPr>
        <w:spacing w:line="360" w:lineRule="auto"/>
        <w:jc w:val="both"/>
        <w:rPr>
          <w:rFonts w:hint="default"/>
          <w:highlight w:val="yellow"/>
          <w:lang w:val="en-US" w:eastAsia="zh-CN"/>
        </w:rPr>
      </w:pPr>
    </w:p>
    <w:p>
      <w:pPr>
        <w:pStyle w:val="5"/>
        <w:rPr>
          <w:rFonts w:hint="default"/>
          <w:lang w:val="en-US" w:eastAsia="zh-CN"/>
        </w:rPr>
      </w:pPr>
      <w:r>
        <w:rPr>
          <w:rFonts w:hint="eastAsia"/>
          <w:lang w:val="en-US" w:eastAsia="zh-CN"/>
        </w:rPr>
        <w:t>2.9.1.3战略、目标与举措</w:t>
      </w:r>
    </w:p>
    <w:p>
      <w:pPr>
        <w:ind w:firstLine="420" w:firstLineChars="0"/>
        <w:rPr>
          <w:rFonts w:hint="default"/>
          <w:b w:val="0"/>
          <w:bCs w:val="0"/>
          <w:highlight w:val="none"/>
          <w:lang w:val="en-US" w:eastAsia="zh-CN"/>
        </w:rPr>
      </w:pPr>
      <w:r>
        <w:rPr>
          <w:rFonts w:hint="eastAsia"/>
          <w:b w:val="0"/>
          <w:bCs w:val="0"/>
          <w:highlight w:val="none"/>
          <w:vertAlign w:val="baseline"/>
          <w:lang w:val="en-US" w:eastAsia="zh-CN"/>
        </w:rPr>
        <w:t>具体到ESG治理议题。就企业自身与外部环境而言，均属于风险与机遇并存。因而对于建筑材料企业来说，应根据企业自身状况，选择SO、ST 、WO 、WT战略。</w:t>
      </w:r>
      <w:r>
        <w:rPr>
          <w:rFonts w:hint="default"/>
          <w:b w:val="0"/>
          <w:bCs w:val="0"/>
          <w:highlight w:val="none"/>
          <w:lang w:val="en-US" w:eastAsia="zh-CN"/>
        </w:rPr>
        <w:t>企业在环境、社会责任和公司治理（ESG）表现已成为影响企业声誉的关键因素之一。部分国家和地区已经出台了ESG相关的法律法规，预计未来将有更多国家和地区跟进。违反相关法规的企业或将面临严厉处罚。在中国，企业ESG治理起步较晚，真正建立ESG治理架构的企业还不多，但建立并完善ESG治理架构已然成为大势所趋。企业可以结合公司治理现状、营业规模、业务的社会影响等实际情况，进行综合考虑，选择适合自己的ESG治理架构。</w:t>
      </w:r>
      <w:r>
        <w:rPr>
          <w:rFonts w:hint="eastAsia"/>
          <w:b w:val="0"/>
          <w:bCs w:val="0"/>
          <w:highlight w:val="none"/>
          <w:lang w:val="en-US" w:eastAsia="zh-CN"/>
        </w:rPr>
        <w:t>在ESG治理架构的建立过程中企业需</w:t>
      </w:r>
      <w:r>
        <w:rPr>
          <w:rFonts w:hint="default"/>
          <w:b w:val="0"/>
          <w:bCs w:val="0"/>
          <w:highlight w:val="none"/>
          <w:lang w:val="en-US" w:eastAsia="zh-CN"/>
        </w:rPr>
        <w:t>强调以董事会为核心的ESG治理的重要性，董事</w:t>
      </w:r>
      <w:r>
        <w:rPr>
          <w:rFonts w:hint="eastAsia"/>
          <w:b w:val="0"/>
          <w:bCs w:val="0"/>
          <w:highlight w:val="none"/>
          <w:lang w:val="en-US" w:eastAsia="zh-CN"/>
        </w:rPr>
        <w:t>有责任</w:t>
      </w:r>
      <w:r>
        <w:rPr>
          <w:rFonts w:hint="default"/>
          <w:b w:val="0"/>
          <w:bCs w:val="0"/>
          <w:highlight w:val="none"/>
          <w:lang w:val="en-US" w:eastAsia="zh-CN"/>
        </w:rPr>
        <w:t>对ESG事宜的监管、业务相关重要ESG事宜</w:t>
      </w:r>
      <w:r>
        <w:rPr>
          <w:rFonts w:hint="eastAsia"/>
          <w:b w:val="0"/>
          <w:bCs w:val="0"/>
          <w:highlight w:val="none"/>
          <w:lang w:val="en-US" w:eastAsia="zh-CN"/>
        </w:rPr>
        <w:t>开展</w:t>
      </w:r>
      <w:r>
        <w:rPr>
          <w:rFonts w:hint="default"/>
          <w:b w:val="0"/>
          <w:bCs w:val="0"/>
          <w:highlight w:val="none"/>
          <w:lang w:val="en-US" w:eastAsia="zh-CN"/>
        </w:rPr>
        <w:t>识别评估</w:t>
      </w:r>
      <w:r>
        <w:rPr>
          <w:rFonts w:hint="eastAsia"/>
          <w:b w:val="0"/>
          <w:bCs w:val="0"/>
          <w:highlight w:val="none"/>
          <w:lang w:val="en-US" w:eastAsia="zh-CN"/>
        </w:rPr>
        <w:t>，</w:t>
      </w:r>
      <w:r>
        <w:rPr>
          <w:rFonts w:hint="default"/>
          <w:b w:val="0"/>
          <w:bCs w:val="0"/>
          <w:highlight w:val="none"/>
          <w:lang w:val="en-US" w:eastAsia="zh-CN"/>
        </w:rPr>
        <w:t>发挥其对ESG事项的决策、监督作用，引领ESG理念、战略的落实。</w:t>
      </w:r>
      <w:r>
        <w:rPr>
          <w:rFonts w:hint="eastAsia"/>
          <w:b w:val="0"/>
          <w:bCs w:val="0"/>
          <w:highlight w:val="none"/>
          <w:lang w:val="en-US" w:eastAsia="zh-CN"/>
        </w:rPr>
        <w:t>在采取具体战略、目标与举措过程中，企业可根据自身经营状况选择秉要执本、尽其所长或统筹兼顾的策略。</w:t>
      </w:r>
    </w:p>
    <w:p>
      <w:pPr>
        <w:pStyle w:val="5"/>
        <w:rPr>
          <w:rFonts w:hint="default"/>
          <w:lang w:val="en-US" w:eastAsia="zh-CN"/>
        </w:rPr>
      </w:pPr>
      <w:r>
        <w:rPr>
          <w:rFonts w:hint="eastAsia"/>
          <w:lang w:val="en-US" w:eastAsia="zh-CN"/>
        </w:rPr>
        <w:t>2.9.1.4 特定行业指南</w:t>
      </w:r>
    </w:p>
    <w:p>
      <w:pPr>
        <w:widowControl w:val="0"/>
        <w:numPr>
          <w:ilvl w:val="0"/>
          <w:numId w:val="0"/>
        </w:numPr>
        <w:spacing w:line="36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表12 特定行业供应商管理战略信息披露与评级指标要求</w:t>
      </w:r>
    </w:p>
    <w:tbl>
      <w:tblPr>
        <w:tblStyle w:val="24"/>
        <w:tblW w:w="8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1"/>
        <w:gridCol w:w="2362"/>
        <w:gridCol w:w="2199"/>
        <w:gridCol w:w="1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721" w:type="dxa"/>
          </w:tcPr>
          <w:p>
            <w:pPr>
              <w:spacing w:line="240" w:lineRule="auto"/>
              <w:jc w:val="center"/>
              <w:rPr>
                <w:rFonts w:hint="default" w:ascii="Times New Roman" w:hAnsi="Times New Roman" w:eastAsia="宋体"/>
                <w:b w:val="0"/>
                <w:bCs w:val="0"/>
                <w:sz w:val="18"/>
                <w:szCs w:val="18"/>
                <w:lang w:val="en-US" w:eastAsia="zh-CN"/>
              </w:rPr>
            </w:pPr>
          </w:p>
        </w:tc>
        <w:tc>
          <w:tcPr>
            <w:tcW w:w="2362"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披露框架</w:t>
            </w:r>
          </w:p>
        </w:tc>
        <w:tc>
          <w:tcPr>
            <w:tcW w:w="4130" w:type="dxa"/>
            <w:gridSpan w:val="2"/>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评级框架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721" w:type="dxa"/>
          </w:tcPr>
          <w:p>
            <w:pPr>
              <w:spacing w:line="240" w:lineRule="auto"/>
              <w:jc w:val="center"/>
              <w:rPr>
                <w:rFonts w:hint="default" w:ascii="Times New Roman" w:hAnsi="Times New Roman" w:eastAsia="宋体"/>
                <w:b w:val="0"/>
                <w:bCs w:val="0"/>
                <w:sz w:val="18"/>
                <w:szCs w:val="18"/>
                <w:lang w:val="en-US" w:eastAsia="zh-CN"/>
              </w:rPr>
            </w:pPr>
          </w:p>
        </w:tc>
        <w:tc>
          <w:tcPr>
            <w:tcW w:w="2362"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IFRS</w:t>
            </w:r>
          </w:p>
        </w:tc>
        <w:tc>
          <w:tcPr>
            <w:tcW w:w="219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MSCI</w:t>
            </w:r>
          </w:p>
        </w:tc>
        <w:tc>
          <w:tcPr>
            <w:tcW w:w="1931"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CSA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721"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建筑原材料</w:t>
            </w:r>
          </w:p>
        </w:tc>
        <w:tc>
          <w:tcPr>
            <w:tcW w:w="2362"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p>
            <w:pPr>
              <w:spacing w:line="240" w:lineRule="auto"/>
              <w:jc w:val="center"/>
              <w:rPr>
                <w:rFonts w:hint="default" w:ascii="Times New Roman" w:hAnsi="Times New Roman" w:eastAsia="宋体"/>
                <w:b w:val="0"/>
                <w:bCs w:val="0"/>
                <w:sz w:val="18"/>
                <w:szCs w:val="18"/>
                <w:lang w:val="en-US" w:eastAsia="zh-CN"/>
              </w:rPr>
            </w:pPr>
          </w:p>
        </w:tc>
        <w:tc>
          <w:tcPr>
            <w:tcW w:w="219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治理</w:t>
            </w:r>
          </w:p>
        </w:tc>
        <w:tc>
          <w:tcPr>
            <w:tcW w:w="1931"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公司治理</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风险和危机管理</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政策影响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721"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建筑部品产品</w:t>
            </w:r>
          </w:p>
        </w:tc>
        <w:tc>
          <w:tcPr>
            <w:tcW w:w="2362"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p>
            <w:pPr>
              <w:spacing w:line="240" w:lineRule="auto"/>
              <w:jc w:val="center"/>
              <w:rPr>
                <w:rFonts w:hint="default" w:ascii="Times New Roman" w:hAnsi="Times New Roman" w:eastAsia="宋体"/>
                <w:b w:val="0"/>
                <w:bCs w:val="0"/>
                <w:sz w:val="18"/>
                <w:szCs w:val="18"/>
                <w:lang w:val="en-US" w:eastAsia="zh-CN"/>
              </w:rPr>
            </w:pPr>
          </w:p>
        </w:tc>
        <w:tc>
          <w:tcPr>
            <w:tcW w:w="219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治理</w:t>
            </w:r>
          </w:p>
        </w:tc>
        <w:tc>
          <w:tcPr>
            <w:tcW w:w="1931"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公司治理</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风险和危机管理</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政策影响</w:t>
            </w:r>
          </w:p>
        </w:tc>
      </w:tr>
    </w:tbl>
    <w:p>
      <w:pPr>
        <w:rPr>
          <w:rFonts w:hint="eastAsia"/>
          <w:highlight w:val="yellow"/>
          <w:lang w:val="en-US" w:eastAsia="zh-CN"/>
        </w:rPr>
      </w:pPr>
    </w:p>
    <w:p>
      <w:pPr>
        <w:pStyle w:val="4"/>
        <w:rPr>
          <w:rFonts w:hint="eastAsia" w:ascii="Times New Roman" w:hAnsi="Times New Roman"/>
          <w:lang w:val="en-US" w:eastAsia="zh-CN"/>
        </w:rPr>
      </w:pPr>
      <w:bookmarkStart w:id="6" w:name="_Toc24976"/>
      <w:r>
        <w:rPr>
          <w:rFonts w:hint="eastAsia" w:ascii="Times New Roman" w:hAnsi="Times New Roman"/>
          <w:lang w:val="en-US" w:eastAsia="zh-CN"/>
        </w:rPr>
        <w:t>2.9.2 商业道德</w:t>
      </w:r>
      <w:bookmarkEnd w:id="6"/>
    </w:p>
    <w:p>
      <w:pPr>
        <w:pStyle w:val="5"/>
        <w:rPr>
          <w:rFonts w:hint="eastAsia"/>
          <w:lang w:val="en-US" w:eastAsia="zh-CN"/>
        </w:rPr>
      </w:pPr>
      <w:r>
        <w:rPr>
          <w:rFonts w:hint="eastAsia"/>
          <w:lang w:val="en-US" w:eastAsia="zh-CN"/>
        </w:rPr>
        <w:t>2.9.2.1 披露项的设置</w:t>
      </w:r>
    </w:p>
    <w:p>
      <w:pPr>
        <w:numPr>
          <w:ilvl w:val="0"/>
          <w:numId w:val="0"/>
        </w:numPr>
        <w:ind w:firstLine="48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企业的商业行为直接影响其</w:t>
      </w:r>
      <w:r>
        <w:rPr>
          <w:rFonts w:hint="default" w:ascii="Times New Roman" w:hAnsi="Times New Roman" w:cs="Times New Roman"/>
          <w:sz w:val="24"/>
          <w:szCs w:val="24"/>
          <w:lang w:val="en-US" w:eastAsia="zh-CN"/>
        </w:rPr>
        <w:t>在未来的发展</w:t>
      </w:r>
      <w:r>
        <w:rPr>
          <w:rFonts w:hint="default" w:ascii="Times New Roman" w:hAnsi="Times New Roman" w:eastAsia="宋体" w:cs="Times New Roman"/>
          <w:sz w:val="24"/>
          <w:szCs w:val="24"/>
        </w:rPr>
        <w:t>、市场地位和社会形象。在ESG（环境、社会和治理）信息披露中，“商业道德”议题显得尤为重要，因为它关乎企业的诚信、透明度和对各利益相关者的责任。通过在ESG信息披露中强调“商业道德”议题，建筑材料行业的企业不仅展现了其对法律合规和道德标准的承诺，还加强了公众和市场对企业的信任。这种透明度和责任感是企业可持续发展的关键，有助于</w:t>
      </w:r>
      <w:r>
        <w:rPr>
          <w:rFonts w:hint="default" w:ascii="Times New Roman" w:hAnsi="Times New Roman" w:cs="Times New Roman"/>
          <w:sz w:val="24"/>
          <w:szCs w:val="24"/>
          <w:lang w:val="en-US" w:eastAsia="zh-CN"/>
        </w:rPr>
        <w:t>其</w:t>
      </w:r>
      <w:r>
        <w:rPr>
          <w:rFonts w:hint="default" w:ascii="Times New Roman" w:hAnsi="Times New Roman" w:eastAsia="宋体" w:cs="Times New Roman"/>
          <w:sz w:val="24"/>
          <w:szCs w:val="24"/>
        </w:rPr>
        <w:t>在竞争激烈的市场环境中脱颖而出。通过这些措施，企业能够保护自身免受合规风险的威胁，同时为股东创造长期价值，并为社会做出贡献。对商业道德的重视反映了全球对可持续商业实践的趋势，也是企业成功和长期繁荣的基础。</w:t>
      </w:r>
    </w:p>
    <w:p>
      <w:pPr>
        <w:ind w:firstLine="480" w:firstLineChars="200"/>
        <w:rPr>
          <w:rFonts w:hint="default" w:ascii="Times New Roman" w:hAnsi="Times New Roman" w:cs="Times New Roman"/>
          <w:sz w:val="21"/>
          <w:szCs w:val="21"/>
          <w:lang w:val="en-US" w:eastAsia="zh-CN"/>
        </w:rPr>
      </w:pPr>
      <w:r>
        <w:rPr>
          <w:rFonts w:hint="default" w:ascii="Times New Roman" w:hAnsi="Times New Roman" w:cs="Times New Roman"/>
          <w:sz w:val="24"/>
          <w:szCs w:val="24"/>
          <w:lang w:val="en-US" w:eastAsia="zh-CN"/>
        </w:rPr>
        <w:t>在</w:t>
      </w:r>
      <w:r>
        <w:rPr>
          <w:rFonts w:hint="default" w:ascii="Times New Roman" w:hAnsi="Times New Roman" w:eastAsia="宋体" w:cs="Times New Roman"/>
          <w:sz w:val="24"/>
          <w:szCs w:val="24"/>
        </w:rPr>
        <w:t>“</w:t>
      </w:r>
      <w:r>
        <w:rPr>
          <w:rFonts w:hint="default" w:ascii="Times New Roman" w:hAnsi="Times New Roman" w:cs="Times New Roman"/>
          <w:lang w:val="en-US" w:eastAsia="zh-CN"/>
        </w:rPr>
        <w:t>商业道德</w:t>
      </w:r>
      <w:r>
        <w:rPr>
          <w:rFonts w:hint="default" w:ascii="Times New Roman" w:hAnsi="Times New Roman" w:eastAsia="宋体" w:cs="Times New Roman"/>
          <w:sz w:val="24"/>
          <w:szCs w:val="24"/>
        </w:rPr>
        <w:t>”议题</w:t>
      </w:r>
      <w:r>
        <w:rPr>
          <w:rFonts w:hint="default" w:ascii="Times New Roman" w:hAnsi="Times New Roman" w:cs="Times New Roman"/>
          <w:sz w:val="24"/>
          <w:szCs w:val="24"/>
          <w:lang w:val="en-US" w:eastAsia="zh-CN"/>
        </w:rPr>
        <w:t>下设置</w:t>
      </w:r>
      <w:r>
        <w:rPr>
          <w:rFonts w:hint="default" w:ascii="Times New Roman" w:hAnsi="Times New Roman" w:eastAsia="宋体" w:cs="Times New Roman"/>
          <w:sz w:val="24"/>
          <w:szCs w:val="24"/>
        </w:rPr>
        <w:t>“</w:t>
      </w:r>
      <w:r>
        <w:rPr>
          <w:rFonts w:hint="default" w:ascii="Times New Roman" w:hAnsi="Times New Roman" w:cs="Times New Roman"/>
          <w:sz w:val="24"/>
          <w:szCs w:val="24"/>
          <w:lang w:val="en-US" w:eastAsia="zh-CN"/>
        </w:rPr>
        <w:t>反腐败</w:t>
      </w:r>
      <w:r>
        <w:rPr>
          <w:rFonts w:hint="default" w:ascii="Times New Roman" w:hAnsi="Times New Roman" w:eastAsia="宋体" w:cs="Times New Roman"/>
          <w:sz w:val="24"/>
          <w:szCs w:val="24"/>
        </w:rPr>
        <w:t>”“</w:t>
      </w:r>
      <w:r>
        <w:rPr>
          <w:rFonts w:hint="default" w:ascii="Times New Roman" w:hAnsi="Times New Roman" w:cs="Times New Roman"/>
          <w:sz w:val="24"/>
          <w:szCs w:val="24"/>
          <w:lang w:val="en-US" w:eastAsia="zh-CN"/>
        </w:rPr>
        <w:t>公平竞争</w:t>
      </w:r>
      <w:r>
        <w:rPr>
          <w:rFonts w:hint="default" w:ascii="Times New Roman" w:hAnsi="Times New Roman" w:eastAsia="宋体" w:cs="Times New Roman"/>
          <w:sz w:val="24"/>
          <w:szCs w:val="24"/>
        </w:rPr>
        <w:t>”</w:t>
      </w:r>
      <w:r>
        <w:rPr>
          <w:rFonts w:hint="default" w:ascii="Times New Roman" w:hAnsi="Times New Roman" w:cs="Times New Roman"/>
          <w:sz w:val="24"/>
          <w:szCs w:val="24"/>
          <w:lang w:val="en-US" w:eastAsia="zh-CN"/>
        </w:rPr>
        <w:t>两个披露项。</w:t>
      </w:r>
    </w:p>
    <w:p>
      <w:pPr>
        <w:numPr>
          <w:ilvl w:val="0"/>
          <w:numId w:val="0"/>
        </w:numPr>
        <w:ind w:firstLine="480"/>
        <w:rPr>
          <w:rFonts w:hint="default" w:ascii="Times New Roman" w:hAnsi="Times New Roman" w:eastAsia="宋体" w:cs="Times New Roman"/>
          <w:sz w:val="24"/>
          <w:szCs w:val="24"/>
        </w:rPr>
      </w:pPr>
      <w:r>
        <w:rPr>
          <w:rStyle w:val="26"/>
          <w:rFonts w:hint="default" w:ascii="Times New Roman" w:hAnsi="Times New Roman" w:eastAsia="宋体" w:cs="Times New Roman"/>
          <w:sz w:val="24"/>
          <w:szCs w:val="24"/>
        </w:rPr>
        <w:t>反腐败</w:t>
      </w:r>
      <w:r>
        <w:rPr>
          <w:rFonts w:hint="default" w:ascii="Times New Roman" w:hAnsi="Times New Roman" w:eastAsia="宋体" w:cs="Times New Roman"/>
          <w:sz w:val="24"/>
          <w:szCs w:val="24"/>
        </w:rPr>
        <w:t>：建筑材料行业往往涉及大规模的项目合同和复杂的供应链管理，这些领域在全球范围内都是腐败行为的高风险区域。腐败不仅损害企业的财务状况，还可能导致法律制裁、损害企业声誉并破坏投资者和客户的信任。通过强化反腐败措施，企业展示了其对诚信经营和法律合规的承诺，这有助于建立一个健康的商业环境，并保护企业免受潜在的金融和声誉损失。</w:t>
      </w:r>
    </w:p>
    <w:p>
      <w:pPr>
        <w:numPr>
          <w:ilvl w:val="0"/>
          <w:numId w:val="0"/>
        </w:numPr>
        <w:ind w:firstLine="480"/>
        <w:rPr>
          <w:rFonts w:hint="default" w:ascii="Times New Roman" w:hAnsi="Times New Roman" w:eastAsia="宋体" w:cs="Times New Roman"/>
          <w:sz w:val="24"/>
          <w:szCs w:val="24"/>
        </w:rPr>
      </w:pPr>
      <w:r>
        <w:rPr>
          <w:rStyle w:val="26"/>
          <w:rFonts w:hint="default" w:ascii="Times New Roman" w:hAnsi="Times New Roman" w:eastAsia="宋体" w:cs="Times New Roman"/>
          <w:sz w:val="24"/>
          <w:szCs w:val="24"/>
        </w:rPr>
        <w:t>公平竞争</w:t>
      </w:r>
      <w:r>
        <w:rPr>
          <w:rFonts w:hint="default" w:ascii="Times New Roman" w:hAnsi="Times New Roman" w:eastAsia="宋体" w:cs="Times New Roman"/>
          <w:sz w:val="24"/>
          <w:szCs w:val="24"/>
        </w:rPr>
        <w:t>：公平竞争是市场经济的基石，对于促进创新、提高服务质量和保护消费者权益至关重要。在建筑材料行业，企业可能面临价格垄断、不正当竞争和市场壁垒等问题，这些问题均</w:t>
      </w:r>
      <w:r>
        <w:rPr>
          <w:rFonts w:hint="default" w:ascii="Times New Roman" w:hAnsi="Times New Roman" w:cs="Times New Roman"/>
          <w:sz w:val="24"/>
          <w:szCs w:val="24"/>
          <w:lang w:val="en-US" w:eastAsia="zh-CN"/>
        </w:rPr>
        <w:t>有</w:t>
      </w:r>
      <w:r>
        <w:rPr>
          <w:rFonts w:hint="default" w:ascii="Times New Roman" w:hAnsi="Times New Roman" w:eastAsia="宋体" w:cs="Times New Roman"/>
          <w:sz w:val="24"/>
          <w:szCs w:val="24"/>
        </w:rPr>
        <w:t>可</w:t>
      </w:r>
      <w:r>
        <w:rPr>
          <w:rFonts w:hint="default" w:ascii="Times New Roman" w:hAnsi="Times New Roman" w:cs="Times New Roman"/>
          <w:sz w:val="24"/>
          <w:szCs w:val="24"/>
          <w:lang w:val="en-US" w:eastAsia="zh-CN"/>
        </w:rPr>
        <w:t>能</w:t>
      </w:r>
      <w:r>
        <w:rPr>
          <w:rFonts w:hint="default" w:ascii="Times New Roman" w:hAnsi="Times New Roman" w:eastAsia="宋体" w:cs="Times New Roman"/>
          <w:sz w:val="24"/>
          <w:szCs w:val="24"/>
        </w:rPr>
        <w:t>损害市场的公平性和</w:t>
      </w:r>
      <w:r>
        <w:rPr>
          <w:rFonts w:hint="default" w:ascii="Times New Roman" w:hAnsi="Times New Roman" w:cs="Times New Roman"/>
          <w:sz w:val="24"/>
          <w:szCs w:val="24"/>
          <w:lang w:val="en-US" w:eastAsia="zh-CN"/>
        </w:rPr>
        <w:t>整个行业</w:t>
      </w:r>
      <w:r>
        <w:rPr>
          <w:rFonts w:hint="default" w:ascii="Times New Roman" w:hAnsi="Times New Roman" w:eastAsia="宋体" w:cs="Times New Roman"/>
          <w:sz w:val="24"/>
          <w:szCs w:val="24"/>
        </w:rPr>
        <w:t>的可持续发展。坚持公平竞争原则有助于企业建立正面的市场形象，提高客户满意度，并在同行业中树立良好的声誉。</w:t>
      </w:r>
    </w:p>
    <w:p>
      <w:pPr>
        <w:pStyle w:val="5"/>
        <w:rPr>
          <w:rFonts w:hint="eastAsia"/>
          <w:lang w:val="en-US" w:eastAsia="zh-CN"/>
        </w:rPr>
      </w:pPr>
      <w:r>
        <w:rPr>
          <w:rFonts w:hint="eastAsia"/>
          <w:lang w:val="en-US" w:eastAsia="zh-CN"/>
        </w:rPr>
        <w:t>2.9.2.2 指标的选取</w:t>
      </w:r>
    </w:p>
    <w:p>
      <w:pPr>
        <w:ind w:firstLine="420" w:firstLineChars="0"/>
        <w:rPr>
          <w:rFonts w:hint="default"/>
          <w:b/>
          <w:bCs/>
          <w:highlight w:val="yellow"/>
          <w:lang w:val="en-US" w:eastAsia="zh-CN"/>
        </w:rPr>
      </w:pPr>
      <w:r>
        <w:rPr>
          <w:rFonts w:hint="eastAsia" w:cs="Times New Roman"/>
          <w:sz w:val="24"/>
          <w:szCs w:val="24"/>
          <w:lang w:val="en-US" w:eastAsia="zh-CN"/>
        </w:rPr>
        <w:t>将本文件议题下的专题披露项（即标题所指的指标）对照IFRS、ESRS、国证ESG、GRI、港交所的ESG信息披露框架，旨在说明该指标的主流披露框架覆盖率、适用性以及其科学合理性。</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630"/>
        <w:gridCol w:w="1480"/>
        <w:gridCol w:w="1476"/>
        <w:gridCol w:w="1387"/>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p>
        </w:tc>
        <w:tc>
          <w:tcPr>
            <w:tcW w:w="2654" w:type="dxa"/>
          </w:tcPr>
          <w:p>
            <w:pPr>
              <w:spacing w:line="240" w:lineRule="auto"/>
              <w:jc w:val="center"/>
              <w:rPr>
                <w:rFonts w:hint="default" w:ascii="Times New Roman" w:hAnsi="Times New Roman" w:eastAsia="宋体"/>
                <w:b w:val="0"/>
                <w:bCs w:val="0"/>
                <w:sz w:val="18"/>
                <w:szCs w:val="18"/>
                <w:lang w:val="en-US" w:eastAsia="zh-CN"/>
              </w:rPr>
            </w:pPr>
            <w:r>
              <w:rPr>
                <w:rFonts w:hint="default" w:ascii="Times New Roman" w:hAnsi="Times New Roman" w:eastAsia="宋体"/>
                <w:b w:val="0"/>
                <w:bCs w:val="0"/>
                <w:sz w:val="18"/>
                <w:szCs w:val="18"/>
                <w:lang w:val="en-US" w:eastAsia="zh-CN"/>
              </w:rPr>
              <w:t>IFRS</w:t>
            </w:r>
          </w:p>
        </w:tc>
        <w:tc>
          <w:tcPr>
            <w:tcW w:w="230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ESRS</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国证ESG</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港交所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反腐败</w:t>
            </w:r>
          </w:p>
        </w:tc>
        <w:tc>
          <w:tcPr>
            <w:tcW w:w="2654" w:type="dxa"/>
          </w:tcPr>
          <w:p>
            <w:pPr>
              <w:spacing w:line="240" w:lineRule="auto"/>
              <w:jc w:val="center"/>
              <w:rPr>
                <w:rFonts w:hint="default" w:ascii="Times New Roman" w:hAnsi="Times New Roman" w:eastAsia="宋体"/>
                <w:b w:val="0"/>
                <w:bCs w:val="0"/>
                <w:sz w:val="18"/>
                <w:szCs w:val="18"/>
                <w:lang w:val="en-US" w:eastAsia="zh-CN"/>
              </w:rPr>
            </w:pPr>
          </w:p>
        </w:tc>
        <w:tc>
          <w:tcPr>
            <w:tcW w:w="2306"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披露要求G1 商业行为</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1 公司文化与公司行为政策</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3 预防和发现腐败或贿赂</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3 已确认的腐败或贿赂事件</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205 反腐败</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营运惯例-反贪污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7"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公平竞争</w:t>
            </w:r>
          </w:p>
        </w:tc>
        <w:tc>
          <w:tcPr>
            <w:tcW w:w="2654" w:type="dxa"/>
          </w:tcPr>
          <w:p>
            <w:pPr>
              <w:spacing w:line="240" w:lineRule="auto"/>
              <w:jc w:val="center"/>
              <w:rPr>
                <w:rFonts w:hint="default" w:ascii="Times New Roman" w:hAnsi="Times New Roman" w:eastAsia="宋体"/>
                <w:b w:val="0"/>
                <w:bCs w:val="0"/>
                <w:sz w:val="18"/>
                <w:szCs w:val="18"/>
                <w:lang w:val="en-US" w:eastAsia="zh-CN"/>
              </w:rPr>
            </w:pPr>
          </w:p>
        </w:tc>
        <w:tc>
          <w:tcPr>
            <w:tcW w:w="2306"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披露要求G1 商业行为</w:t>
            </w:r>
          </w:p>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1 公司文化与公司行为政策</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4 政治影响和游说活动</w:t>
            </w:r>
          </w:p>
        </w:tc>
        <w:tc>
          <w:tcPr>
            <w:tcW w:w="2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c>
          <w:tcPr>
            <w:tcW w:w="224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 206 不正当竞争行为</w:t>
            </w:r>
          </w:p>
        </w:tc>
        <w:tc>
          <w:tcPr>
            <w:tcW w:w="194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r>
    </w:tbl>
    <w:p>
      <w:pPr>
        <w:pStyle w:val="5"/>
        <w:rPr>
          <w:rFonts w:hint="default"/>
          <w:lang w:val="en-US" w:eastAsia="zh-CN"/>
        </w:rPr>
      </w:pPr>
      <w:r>
        <w:rPr>
          <w:rFonts w:hint="eastAsia"/>
          <w:lang w:val="en-US" w:eastAsia="zh-CN"/>
        </w:rPr>
        <w:t>2.9.2.3 战略、目标与举措</w:t>
      </w:r>
    </w:p>
    <w:p>
      <w:pPr>
        <w:ind w:firstLine="420" w:firstLineChars="0"/>
        <w:rPr>
          <w:rFonts w:hint="default"/>
          <w:b/>
          <w:bCs/>
          <w:highlight w:val="none"/>
          <w:lang w:val="en-US" w:eastAsia="zh-CN"/>
        </w:rPr>
      </w:pPr>
      <w:r>
        <w:rPr>
          <w:rFonts w:hint="eastAsia"/>
          <w:b w:val="0"/>
          <w:bCs w:val="0"/>
          <w:highlight w:val="none"/>
          <w:vertAlign w:val="baseline"/>
          <w:lang w:val="en-US" w:eastAsia="zh-CN"/>
        </w:rPr>
        <w:t>具体到商业道德议题。就外部环境而言，属于风险规避类议题。对于建筑材料企业来说，应根据企业自身状况，选择ST 、WT战略。商业</w:t>
      </w:r>
      <w:r>
        <w:rPr>
          <w:rFonts w:hint="default"/>
          <w:b w:val="0"/>
          <w:bCs w:val="0"/>
          <w:highlight w:val="none"/>
          <w:lang w:val="en-US" w:eastAsia="zh-CN"/>
        </w:rPr>
        <w:t>道德风险是由信息不对称引发的、体现“经济人”趋利避害本性的风险。即在信息不对称条件下，具有信息优势的一方本有能力履行义务，但出于最大化自身效用的不良道德，其可能做出有利于自己而不利于对方的违约行为，并隐藏行为给处于信息劣势的一方带来事先无法预期的损失的风险。企业</w:t>
      </w:r>
      <w:r>
        <w:rPr>
          <w:rFonts w:hint="eastAsia"/>
          <w:b w:val="0"/>
          <w:bCs w:val="0"/>
          <w:highlight w:val="none"/>
          <w:lang w:val="en-US" w:eastAsia="zh-CN"/>
        </w:rPr>
        <w:t>根据自身业务需要，</w:t>
      </w:r>
      <w:r>
        <w:rPr>
          <w:rFonts w:hint="default"/>
          <w:b w:val="0"/>
          <w:bCs w:val="0"/>
          <w:highlight w:val="none"/>
          <w:lang w:val="en-US" w:eastAsia="zh-CN"/>
        </w:rPr>
        <w:t>重点关注反腐败和公平竞争等商业道德行为对企业效率和道德声誉的影响，</w:t>
      </w:r>
      <w:r>
        <w:rPr>
          <w:rFonts w:hint="eastAsia"/>
          <w:b w:val="0"/>
          <w:bCs w:val="0"/>
          <w:highlight w:val="none"/>
          <w:lang w:val="en-US" w:eastAsia="zh-CN"/>
        </w:rPr>
        <w:t>采取措施，</w:t>
      </w:r>
      <w:r>
        <w:rPr>
          <w:rFonts w:hint="default"/>
          <w:b w:val="0"/>
          <w:bCs w:val="0"/>
          <w:highlight w:val="none"/>
          <w:lang w:val="en-US" w:eastAsia="zh-CN"/>
        </w:rPr>
        <w:t>确保公司治理的健康与可持续。</w:t>
      </w:r>
    </w:p>
    <w:p>
      <w:pPr>
        <w:pStyle w:val="5"/>
        <w:rPr>
          <w:rFonts w:hint="default"/>
          <w:lang w:val="en-US" w:eastAsia="zh-CN"/>
        </w:rPr>
      </w:pPr>
      <w:r>
        <w:rPr>
          <w:rFonts w:hint="eastAsia"/>
          <w:lang w:val="en-US" w:eastAsia="zh-CN"/>
        </w:rPr>
        <w:t>2.9.2.4 特定行业指南</w:t>
      </w:r>
    </w:p>
    <w:p>
      <w:pPr>
        <w:widowControl w:val="0"/>
        <w:numPr>
          <w:ilvl w:val="0"/>
          <w:numId w:val="0"/>
        </w:numPr>
        <w:spacing w:line="36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表13 特定行业商业道德信息披露与评级指标要求</w:t>
      </w:r>
    </w:p>
    <w:tbl>
      <w:tblPr>
        <w:tblStyle w:val="24"/>
        <w:tblW w:w="8776"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9"/>
        <w:gridCol w:w="2119"/>
        <w:gridCol w:w="2424"/>
        <w:gridCol w:w="2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right"/>
        </w:trPr>
        <w:tc>
          <w:tcPr>
            <w:tcW w:w="2189" w:type="dxa"/>
          </w:tcPr>
          <w:p>
            <w:pPr>
              <w:spacing w:line="240" w:lineRule="auto"/>
              <w:jc w:val="center"/>
              <w:rPr>
                <w:rFonts w:hint="default" w:ascii="Times New Roman" w:hAnsi="Times New Roman" w:eastAsia="宋体"/>
                <w:b w:val="0"/>
                <w:bCs w:val="0"/>
                <w:sz w:val="18"/>
                <w:szCs w:val="18"/>
                <w:lang w:val="en-US" w:eastAsia="zh-CN"/>
              </w:rPr>
            </w:pPr>
          </w:p>
        </w:tc>
        <w:tc>
          <w:tcPr>
            <w:tcW w:w="211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披露框架</w:t>
            </w:r>
          </w:p>
        </w:tc>
        <w:tc>
          <w:tcPr>
            <w:tcW w:w="4468" w:type="dxa"/>
            <w:gridSpan w:val="2"/>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评级框架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right"/>
        </w:trPr>
        <w:tc>
          <w:tcPr>
            <w:tcW w:w="2189" w:type="dxa"/>
          </w:tcPr>
          <w:p>
            <w:pPr>
              <w:spacing w:line="240" w:lineRule="auto"/>
              <w:jc w:val="center"/>
              <w:rPr>
                <w:rFonts w:hint="default" w:ascii="Times New Roman" w:hAnsi="Times New Roman" w:eastAsia="宋体"/>
                <w:b w:val="0"/>
                <w:bCs w:val="0"/>
                <w:sz w:val="18"/>
                <w:szCs w:val="18"/>
                <w:lang w:val="en-US" w:eastAsia="zh-CN"/>
              </w:rPr>
            </w:pPr>
          </w:p>
        </w:tc>
        <w:tc>
          <w:tcPr>
            <w:tcW w:w="211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IFRS</w:t>
            </w:r>
          </w:p>
        </w:tc>
        <w:tc>
          <w:tcPr>
            <w:tcW w:w="242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MSCI</w:t>
            </w:r>
          </w:p>
        </w:tc>
        <w:tc>
          <w:tcPr>
            <w:tcW w:w="204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CSA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right"/>
        </w:trPr>
        <w:tc>
          <w:tcPr>
            <w:tcW w:w="218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建筑原材料</w:t>
            </w:r>
          </w:p>
        </w:tc>
        <w:tc>
          <w:tcPr>
            <w:tcW w:w="211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p>
            <w:pPr>
              <w:spacing w:line="240" w:lineRule="auto"/>
              <w:jc w:val="center"/>
              <w:rPr>
                <w:rFonts w:hint="default" w:ascii="Times New Roman" w:hAnsi="Times New Roman" w:eastAsia="宋体"/>
                <w:b w:val="0"/>
                <w:bCs w:val="0"/>
                <w:sz w:val="18"/>
                <w:szCs w:val="18"/>
                <w:lang w:val="en-US" w:eastAsia="zh-CN"/>
              </w:rPr>
            </w:pPr>
          </w:p>
        </w:tc>
        <w:tc>
          <w:tcPr>
            <w:tcW w:w="242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p>
            <w:pPr>
              <w:spacing w:line="240" w:lineRule="auto"/>
              <w:jc w:val="center"/>
              <w:rPr>
                <w:rFonts w:hint="default" w:ascii="Times New Roman" w:hAnsi="Times New Roman" w:eastAsia="宋体"/>
                <w:b w:val="0"/>
                <w:bCs w:val="0"/>
                <w:sz w:val="18"/>
                <w:szCs w:val="18"/>
                <w:lang w:val="en-US" w:eastAsia="zh-CN"/>
              </w:rPr>
            </w:pPr>
          </w:p>
        </w:tc>
        <w:tc>
          <w:tcPr>
            <w:tcW w:w="2044"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商业道德</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政策影响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right"/>
        </w:trPr>
        <w:tc>
          <w:tcPr>
            <w:tcW w:w="218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建筑部品产品</w:t>
            </w:r>
          </w:p>
        </w:tc>
        <w:tc>
          <w:tcPr>
            <w:tcW w:w="211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p>
            <w:pPr>
              <w:spacing w:line="240" w:lineRule="auto"/>
              <w:jc w:val="center"/>
              <w:rPr>
                <w:rFonts w:hint="default" w:ascii="Times New Roman" w:hAnsi="Times New Roman" w:eastAsia="宋体"/>
                <w:b w:val="0"/>
                <w:bCs w:val="0"/>
                <w:sz w:val="18"/>
                <w:szCs w:val="18"/>
                <w:lang w:val="en-US" w:eastAsia="zh-CN"/>
              </w:rPr>
            </w:pPr>
          </w:p>
        </w:tc>
        <w:tc>
          <w:tcPr>
            <w:tcW w:w="242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p>
            <w:pPr>
              <w:spacing w:line="240" w:lineRule="auto"/>
              <w:jc w:val="center"/>
              <w:rPr>
                <w:rFonts w:hint="default" w:ascii="Times New Roman" w:hAnsi="Times New Roman" w:eastAsia="宋体"/>
                <w:b w:val="0"/>
                <w:bCs w:val="0"/>
                <w:sz w:val="18"/>
                <w:szCs w:val="18"/>
                <w:lang w:val="en-US" w:eastAsia="zh-CN"/>
              </w:rPr>
            </w:pPr>
          </w:p>
        </w:tc>
        <w:tc>
          <w:tcPr>
            <w:tcW w:w="2044" w:type="dxa"/>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商业道德</w:t>
            </w:r>
          </w:p>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政策影响</w:t>
            </w:r>
          </w:p>
        </w:tc>
      </w:tr>
    </w:tbl>
    <w:p>
      <w:pPr>
        <w:rPr>
          <w:rFonts w:hint="eastAsia"/>
          <w:highlight w:val="yellow"/>
          <w:lang w:val="en-US" w:eastAsia="zh-CN"/>
        </w:rPr>
      </w:pPr>
    </w:p>
    <w:p>
      <w:pPr>
        <w:pStyle w:val="4"/>
        <w:rPr>
          <w:rFonts w:hint="eastAsia" w:ascii="Times New Roman" w:hAnsi="Times New Roman"/>
          <w:lang w:val="en-US" w:eastAsia="zh-CN"/>
        </w:rPr>
      </w:pPr>
      <w:bookmarkStart w:id="7" w:name="_Toc13271"/>
      <w:r>
        <w:rPr>
          <w:rFonts w:hint="eastAsia" w:ascii="Times New Roman" w:hAnsi="Times New Roman"/>
          <w:lang w:val="en-US" w:eastAsia="zh-CN"/>
        </w:rPr>
        <w:t>2.9.3 管理文化</w:t>
      </w:r>
      <w:bookmarkEnd w:id="7"/>
    </w:p>
    <w:p>
      <w:pPr>
        <w:pStyle w:val="5"/>
        <w:rPr>
          <w:rFonts w:hint="eastAsia"/>
          <w:lang w:val="en-US" w:eastAsia="zh-CN"/>
        </w:rPr>
      </w:pPr>
      <w:r>
        <w:rPr>
          <w:rFonts w:hint="eastAsia"/>
          <w:lang w:val="en-US" w:eastAsia="zh-CN"/>
        </w:rPr>
        <w:t>2.9.3.1披露项的设置</w:t>
      </w:r>
    </w:p>
    <w:p>
      <w:pPr>
        <w:numPr>
          <w:ilvl w:val="0"/>
          <w:numId w:val="0"/>
        </w:numPr>
        <w:ind w:firstLine="480"/>
        <w:rPr>
          <w:rFonts w:hint="default" w:ascii="宋体" w:hAnsi="宋体" w:eastAsia="宋体" w:cs="宋体"/>
          <w:sz w:val="24"/>
          <w:szCs w:val="24"/>
          <w:lang w:val="en-US" w:eastAsia="zh-CN"/>
        </w:rPr>
      </w:pPr>
      <w:r>
        <w:rPr>
          <w:rFonts w:ascii="宋体" w:hAnsi="宋体" w:eastAsia="宋体" w:cs="宋体"/>
          <w:sz w:val="24"/>
          <w:szCs w:val="24"/>
        </w:rPr>
        <w:t>“管理文化”直接关系到企业的创新能力、适应性以及对未来发展趋势的把握。通过在信息披露中强调“管理文化”议题，企业</w:t>
      </w:r>
      <w:r>
        <w:rPr>
          <w:rFonts w:hint="eastAsia" w:ascii="宋体" w:hAnsi="宋体" w:cs="宋体"/>
          <w:sz w:val="24"/>
          <w:szCs w:val="24"/>
          <w:lang w:val="en-US" w:eastAsia="zh-CN"/>
        </w:rPr>
        <w:t>可</w:t>
      </w:r>
      <w:r>
        <w:rPr>
          <w:rFonts w:ascii="宋体" w:hAnsi="宋体" w:eastAsia="宋体" w:cs="宋体"/>
          <w:sz w:val="24"/>
          <w:szCs w:val="24"/>
        </w:rPr>
        <w:t>展示其在适应现代市场变化、满足环保要求和推动技术创新方面的决心和行动。有助于企业在激烈的市场竞争中保持领先地位，也显示了企业对社会责任和环境保护的长期承诺。通过这些措施，企业能够实现真正意义上的可持续发展。</w:t>
      </w:r>
    </w:p>
    <w:p>
      <w:pPr>
        <w:ind w:firstLine="480" w:firstLineChars="200"/>
        <w:rPr>
          <w:rFonts w:hint="eastAsia"/>
          <w:lang w:val="en-US" w:eastAsia="zh-CN"/>
        </w:rPr>
      </w:pPr>
      <w:r>
        <w:rPr>
          <w:rFonts w:hint="default" w:ascii="Times New Roman" w:hAnsi="Times New Roman" w:cs="Times New Roman"/>
          <w:sz w:val="24"/>
          <w:szCs w:val="24"/>
          <w:lang w:val="en-US" w:eastAsia="zh-CN"/>
        </w:rPr>
        <w:t>在</w:t>
      </w:r>
      <w:r>
        <w:rPr>
          <w:rFonts w:hint="default" w:ascii="Times New Roman" w:hAnsi="Times New Roman" w:eastAsia="宋体" w:cs="Times New Roman"/>
          <w:sz w:val="24"/>
          <w:szCs w:val="24"/>
        </w:rPr>
        <w:t>“</w:t>
      </w:r>
      <w:r>
        <w:rPr>
          <w:rFonts w:hint="eastAsia" w:cs="Times New Roman"/>
          <w:lang w:val="en-US" w:eastAsia="zh-CN"/>
        </w:rPr>
        <w:t>管理文化</w:t>
      </w:r>
      <w:r>
        <w:rPr>
          <w:rFonts w:hint="default" w:ascii="Times New Roman" w:hAnsi="Times New Roman" w:eastAsia="宋体" w:cs="Times New Roman"/>
          <w:sz w:val="24"/>
          <w:szCs w:val="24"/>
        </w:rPr>
        <w:t>”议题</w:t>
      </w:r>
      <w:r>
        <w:rPr>
          <w:rFonts w:hint="default" w:ascii="Times New Roman" w:hAnsi="Times New Roman" w:cs="Times New Roman"/>
          <w:sz w:val="24"/>
          <w:szCs w:val="24"/>
          <w:lang w:val="en-US" w:eastAsia="zh-CN"/>
        </w:rPr>
        <w:t>下设置</w:t>
      </w:r>
      <w:r>
        <w:rPr>
          <w:rFonts w:hint="eastAsia" w:cs="Times New Roman"/>
          <w:sz w:val="24"/>
          <w:szCs w:val="24"/>
          <w:lang w:eastAsia="zh-CN"/>
        </w:rPr>
        <w:t>“</w:t>
      </w:r>
      <w:r>
        <w:rPr>
          <w:rFonts w:hint="default" w:ascii="Times New Roman" w:hAnsi="Times New Roman" w:cs="Times New Roman"/>
          <w:sz w:val="24"/>
          <w:szCs w:val="24"/>
          <w:lang w:val="en-US" w:eastAsia="zh-CN"/>
        </w:rPr>
        <w:t>信息化与智能化</w:t>
      </w:r>
      <w:r>
        <w:rPr>
          <w:rFonts w:hint="eastAsia" w:cs="Times New Roman"/>
          <w:sz w:val="24"/>
          <w:szCs w:val="24"/>
          <w:lang w:val="en-US" w:eastAsia="zh-CN"/>
        </w:rPr>
        <w:t>”“</w:t>
      </w:r>
      <w:r>
        <w:rPr>
          <w:rFonts w:hint="default" w:ascii="Times New Roman" w:hAnsi="Times New Roman" w:cs="Times New Roman"/>
          <w:sz w:val="24"/>
          <w:szCs w:val="24"/>
          <w:lang w:val="en-US" w:eastAsia="zh-CN"/>
        </w:rPr>
        <w:t>科技创新</w:t>
      </w:r>
      <w:r>
        <w:rPr>
          <w:rFonts w:hint="eastAsia" w:cs="Times New Roman"/>
          <w:sz w:val="24"/>
          <w:szCs w:val="24"/>
          <w:lang w:val="en-US" w:eastAsia="zh-CN"/>
        </w:rPr>
        <w:t>”“党建文化”三</w:t>
      </w:r>
      <w:r>
        <w:rPr>
          <w:rFonts w:hint="default" w:ascii="Times New Roman" w:hAnsi="Times New Roman" w:cs="Times New Roman"/>
          <w:sz w:val="24"/>
          <w:szCs w:val="24"/>
          <w:lang w:val="en-US" w:eastAsia="zh-CN"/>
        </w:rPr>
        <w:t>个披露项。</w:t>
      </w:r>
    </w:p>
    <w:p>
      <w:pPr>
        <w:numPr>
          <w:ilvl w:val="0"/>
          <w:numId w:val="0"/>
        </w:numPr>
        <w:ind w:firstLine="480"/>
        <w:rPr>
          <w:rFonts w:ascii="宋体" w:hAnsi="宋体" w:eastAsia="宋体" w:cs="宋体"/>
          <w:sz w:val="24"/>
          <w:szCs w:val="24"/>
        </w:rPr>
      </w:pPr>
      <w:r>
        <w:rPr>
          <w:rStyle w:val="26"/>
          <w:rFonts w:ascii="宋体" w:hAnsi="宋体" w:eastAsia="宋体" w:cs="宋体"/>
          <w:sz w:val="24"/>
          <w:szCs w:val="24"/>
        </w:rPr>
        <w:t>信息化与智能化</w:t>
      </w:r>
      <w:r>
        <w:rPr>
          <w:rFonts w:ascii="宋体" w:hAnsi="宋体" w:eastAsia="宋体" w:cs="宋体"/>
          <w:sz w:val="24"/>
          <w:szCs w:val="24"/>
        </w:rPr>
        <w:t>：在数字技术迅速发展的今天，信息化与智能化已成为提升企业竞争力的关键。对于建筑材料行业而言，这意味着需要通过技术手段优化生产流程，提高资源利用率，减少能源消耗，降低对环境的影响。</w:t>
      </w:r>
    </w:p>
    <w:p>
      <w:pPr>
        <w:numPr>
          <w:ilvl w:val="0"/>
          <w:numId w:val="0"/>
        </w:numPr>
        <w:ind w:firstLine="480"/>
        <w:rPr>
          <w:rFonts w:ascii="宋体" w:hAnsi="宋体" w:eastAsia="宋体" w:cs="宋体"/>
          <w:sz w:val="24"/>
          <w:szCs w:val="24"/>
        </w:rPr>
      </w:pPr>
      <w:r>
        <w:rPr>
          <w:rStyle w:val="26"/>
          <w:rFonts w:ascii="宋体" w:hAnsi="宋体" w:eastAsia="宋体" w:cs="宋体"/>
          <w:sz w:val="24"/>
          <w:szCs w:val="24"/>
        </w:rPr>
        <w:t>科技创新</w:t>
      </w:r>
      <w:r>
        <w:rPr>
          <w:rFonts w:ascii="宋体" w:hAnsi="宋体" w:eastAsia="宋体" w:cs="宋体"/>
          <w:sz w:val="24"/>
          <w:szCs w:val="24"/>
        </w:rPr>
        <w:t>：科技创新是推动任何行业发展的重要动力，尤其是在建筑材料行业。通过科技创新，企业能够开发更环保、质量更高的建筑材料，满足市场需求，同时减少对环境的负面影响。</w:t>
      </w:r>
    </w:p>
    <w:p>
      <w:pPr>
        <w:numPr>
          <w:ilvl w:val="0"/>
          <w:numId w:val="0"/>
        </w:numPr>
        <w:ind w:firstLine="480"/>
        <w:rPr>
          <w:rFonts w:ascii="宋体" w:hAnsi="宋体" w:eastAsia="宋体" w:cs="宋体"/>
          <w:sz w:val="24"/>
          <w:szCs w:val="24"/>
        </w:rPr>
      </w:pPr>
      <w:r>
        <w:rPr>
          <w:rStyle w:val="26"/>
          <w:rFonts w:ascii="宋体" w:hAnsi="宋体" w:eastAsia="宋体" w:cs="宋体"/>
          <w:sz w:val="24"/>
          <w:szCs w:val="24"/>
        </w:rPr>
        <w:t>党建文化</w:t>
      </w:r>
      <w:r>
        <w:rPr>
          <w:rFonts w:ascii="宋体" w:hAnsi="宋体" w:eastAsia="宋体" w:cs="宋体"/>
          <w:sz w:val="24"/>
          <w:szCs w:val="24"/>
        </w:rPr>
        <w:t>：在</w:t>
      </w:r>
      <w:r>
        <w:rPr>
          <w:rFonts w:hint="eastAsia" w:ascii="宋体" w:hAnsi="宋体" w:cs="宋体"/>
          <w:sz w:val="24"/>
          <w:szCs w:val="24"/>
          <w:lang w:val="en-US" w:eastAsia="zh-CN"/>
        </w:rPr>
        <w:t>我</w:t>
      </w:r>
      <w:r>
        <w:rPr>
          <w:rFonts w:ascii="宋体" w:hAnsi="宋体" w:eastAsia="宋体" w:cs="宋体"/>
          <w:sz w:val="24"/>
          <w:szCs w:val="24"/>
        </w:rPr>
        <w:t>国，党建文化是指导企业发展的重要力量，它强调价值观的共享、目标的一致性和集体的责任感。强有力的党建文化能够确保企业在追求经济效益的同时，不忽视社会责任和环境保护。一个健康的党建文化有助于形成积极向上的企业氛围，提高员工的忠诚度和工作满意度，从而间接推动企业在环保和社会责任方面取得进步。</w:t>
      </w:r>
    </w:p>
    <w:p>
      <w:pPr>
        <w:pStyle w:val="5"/>
        <w:rPr>
          <w:rFonts w:hint="default"/>
          <w:lang w:val="en-US" w:eastAsia="zh-CN"/>
        </w:rPr>
      </w:pPr>
      <w:r>
        <w:rPr>
          <w:rFonts w:hint="eastAsia"/>
          <w:lang w:val="en-US" w:eastAsia="zh-CN"/>
        </w:rPr>
        <w:t>2.9.3.2 指标的选取</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1"/>
        <w:gridCol w:w="1473"/>
        <w:gridCol w:w="1480"/>
        <w:gridCol w:w="1476"/>
        <w:gridCol w:w="1387"/>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spacing w:line="240" w:lineRule="auto"/>
              <w:jc w:val="center"/>
              <w:rPr>
                <w:rFonts w:hint="default" w:ascii="Times New Roman" w:hAnsi="Times New Roman" w:eastAsia="宋体"/>
                <w:b w:val="0"/>
                <w:bCs w:val="0"/>
                <w:sz w:val="18"/>
                <w:szCs w:val="18"/>
                <w:lang w:val="en-US" w:eastAsia="zh-CN"/>
              </w:rPr>
            </w:pPr>
          </w:p>
        </w:tc>
        <w:tc>
          <w:tcPr>
            <w:tcW w:w="1473" w:type="dxa"/>
          </w:tcPr>
          <w:p>
            <w:pPr>
              <w:spacing w:line="240" w:lineRule="auto"/>
              <w:jc w:val="center"/>
              <w:rPr>
                <w:rFonts w:hint="default" w:ascii="Times New Roman" w:hAnsi="Times New Roman" w:eastAsia="宋体"/>
                <w:b w:val="0"/>
                <w:bCs w:val="0"/>
                <w:sz w:val="18"/>
                <w:szCs w:val="18"/>
                <w:lang w:val="en-US" w:eastAsia="zh-CN"/>
              </w:rPr>
            </w:pPr>
            <w:r>
              <w:rPr>
                <w:rFonts w:hint="default" w:ascii="Times New Roman" w:hAnsi="Times New Roman" w:eastAsia="宋体"/>
                <w:b w:val="0"/>
                <w:bCs w:val="0"/>
                <w:sz w:val="18"/>
                <w:szCs w:val="18"/>
                <w:lang w:val="en-US" w:eastAsia="zh-CN"/>
              </w:rPr>
              <w:t>IFRS</w:t>
            </w:r>
          </w:p>
        </w:tc>
        <w:tc>
          <w:tcPr>
            <w:tcW w:w="148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ESRS</w:t>
            </w:r>
          </w:p>
        </w:tc>
        <w:tc>
          <w:tcPr>
            <w:tcW w:w="147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国证ESG</w:t>
            </w:r>
          </w:p>
        </w:tc>
        <w:tc>
          <w:tcPr>
            <w:tcW w:w="1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GRI</w:t>
            </w:r>
          </w:p>
        </w:tc>
        <w:tc>
          <w:tcPr>
            <w:tcW w:w="117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港交所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信息化与智能化</w:t>
            </w:r>
          </w:p>
        </w:tc>
        <w:tc>
          <w:tcPr>
            <w:tcW w:w="1473" w:type="dxa"/>
          </w:tcPr>
          <w:p>
            <w:pPr>
              <w:spacing w:line="240" w:lineRule="auto"/>
              <w:jc w:val="center"/>
              <w:rPr>
                <w:rFonts w:hint="default" w:ascii="Times New Roman" w:hAnsi="Times New Roman" w:eastAsia="宋体"/>
                <w:b w:val="0"/>
                <w:bCs w:val="0"/>
                <w:sz w:val="18"/>
                <w:szCs w:val="18"/>
                <w:lang w:val="en-US" w:eastAsia="zh-CN"/>
              </w:rPr>
            </w:pPr>
          </w:p>
        </w:tc>
        <w:tc>
          <w:tcPr>
            <w:tcW w:w="148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c>
          <w:tcPr>
            <w:tcW w:w="147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c>
          <w:tcPr>
            <w:tcW w:w="1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c>
          <w:tcPr>
            <w:tcW w:w="117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科技创新</w:t>
            </w:r>
          </w:p>
        </w:tc>
        <w:tc>
          <w:tcPr>
            <w:tcW w:w="1473" w:type="dxa"/>
          </w:tcPr>
          <w:p>
            <w:pPr>
              <w:spacing w:line="240" w:lineRule="auto"/>
              <w:jc w:val="center"/>
              <w:rPr>
                <w:rFonts w:hint="default" w:ascii="Times New Roman" w:hAnsi="Times New Roman" w:eastAsia="宋体"/>
                <w:b w:val="0"/>
                <w:bCs w:val="0"/>
                <w:sz w:val="18"/>
                <w:szCs w:val="18"/>
                <w:lang w:val="en-US" w:eastAsia="zh-CN"/>
              </w:rPr>
            </w:pPr>
          </w:p>
        </w:tc>
        <w:tc>
          <w:tcPr>
            <w:tcW w:w="148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c>
          <w:tcPr>
            <w:tcW w:w="147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c>
          <w:tcPr>
            <w:tcW w:w="1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c>
          <w:tcPr>
            <w:tcW w:w="117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党建文化</w:t>
            </w:r>
          </w:p>
        </w:tc>
        <w:tc>
          <w:tcPr>
            <w:tcW w:w="1473"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c>
          <w:tcPr>
            <w:tcW w:w="1480"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c>
          <w:tcPr>
            <w:tcW w:w="1476"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c>
          <w:tcPr>
            <w:tcW w:w="1387"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c>
          <w:tcPr>
            <w:tcW w:w="1175"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无明确对应</w:t>
            </w:r>
          </w:p>
        </w:tc>
      </w:tr>
    </w:tbl>
    <w:p>
      <w:pPr>
        <w:widowControl w:val="0"/>
        <w:numPr>
          <w:ilvl w:val="0"/>
          <w:numId w:val="0"/>
        </w:numPr>
        <w:spacing w:line="360" w:lineRule="auto"/>
        <w:jc w:val="both"/>
        <w:rPr>
          <w:rFonts w:hint="default"/>
          <w:highlight w:val="yellow"/>
          <w:lang w:val="en-US" w:eastAsia="zh-CN"/>
        </w:rPr>
      </w:pPr>
    </w:p>
    <w:p>
      <w:pPr>
        <w:rPr>
          <w:rFonts w:hint="default" w:eastAsia="黑体" w:asciiTheme="majorHAnsi" w:hAnsiTheme="majorHAnsi" w:cstheme="majorBidi"/>
          <w:b/>
          <w:bCs/>
          <w:kern w:val="2"/>
          <w:sz w:val="24"/>
          <w:szCs w:val="28"/>
          <w:lang w:val="en-US" w:eastAsia="zh-CN" w:bidi="ar-SA"/>
        </w:rPr>
      </w:pPr>
      <w:r>
        <w:rPr>
          <w:rFonts w:hint="eastAsia" w:eastAsia="黑体" w:asciiTheme="majorHAnsi" w:hAnsiTheme="majorHAnsi" w:cstheme="majorBidi"/>
          <w:b/>
          <w:bCs/>
          <w:kern w:val="2"/>
          <w:sz w:val="24"/>
          <w:szCs w:val="28"/>
          <w:lang w:val="en-US" w:eastAsia="zh-CN" w:bidi="ar-SA"/>
        </w:rPr>
        <w:t>2.9.3.3战略、目标与举措</w:t>
      </w:r>
    </w:p>
    <w:p>
      <w:pPr>
        <w:ind w:firstLine="420" w:firstLineChars="0"/>
        <w:rPr>
          <w:rFonts w:hint="default"/>
          <w:b/>
          <w:bCs/>
          <w:highlight w:val="yellow"/>
          <w:lang w:val="en-US" w:eastAsia="zh-CN"/>
        </w:rPr>
      </w:pPr>
      <w:r>
        <w:rPr>
          <w:rFonts w:hint="eastAsia"/>
          <w:b w:val="0"/>
          <w:bCs w:val="0"/>
          <w:highlight w:val="none"/>
          <w:vertAlign w:val="baseline"/>
          <w:lang w:val="en-US" w:eastAsia="zh-CN"/>
        </w:rPr>
        <w:t>具体到管理文化议题。就企业自身与外部环境而言，均属于风险与机遇并存。由于企业内外部的发展环境不同，经营理念、方式不同，使不同的企业形成了不同的企业文化。所以，在企业并购中除了存在着融资、债务和法规等风险因素以外，还存在着企业文化风险，即由于文化的不相容而带来并购失败。企业文化本质上是企业成员的共同认知，来源于企业创立者和领导者的价值体系的根植。企业需要坚持党建引领、制定全球化战略、整合资源、管理多元文化的团队、推动技术创新和数字化转型，并关注可持续发展和社会责任。企业才能获得持续竞争优势和发展。</w:t>
      </w:r>
    </w:p>
    <w:p>
      <w:pPr>
        <w:rPr>
          <w:rFonts w:hint="eastAsia" w:eastAsia="黑体" w:asciiTheme="majorHAnsi" w:hAnsiTheme="majorHAnsi" w:cstheme="majorBidi"/>
          <w:b/>
          <w:bCs/>
          <w:kern w:val="2"/>
          <w:sz w:val="24"/>
          <w:szCs w:val="28"/>
          <w:lang w:val="en-US" w:eastAsia="zh-CN" w:bidi="ar-SA"/>
        </w:rPr>
      </w:pPr>
      <w:r>
        <w:rPr>
          <w:rFonts w:hint="eastAsia" w:eastAsia="黑体" w:asciiTheme="majorHAnsi" w:hAnsiTheme="majorHAnsi" w:cstheme="majorBidi"/>
          <w:b/>
          <w:bCs/>
          <w:kern w:val="2"/>
          <w:sz w:val="24"/>
          <w:szCs w:val="28"/>
          <w:lang w:val="en-US" w:eastAsia="zh-CN" w:bidi="ar-SA"/>
        </w:rPr>
        <w:t>2.9.3.4 特定行业指南</w:t>
      </w:r>
    </w:p>
    <w:p>
      <w:pPr>
        <w:widowControl w:val="0"/>
        <w:numPr>
          <w:ilvl w:val="0"/>
          <w:numId w:val="0"/>
        </w:numPr>
        <w:spacing w:line="36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表14 特定行业管理文化信息披露与评级指标要求</w:t>
      </w:r>
    </w:p>
    <w:tbl>
      <w:tblPr>
        <w:tblStyle w:val="24"/>
        <w:tblW w:w="832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4"/>
        <w:gridCol w:w="2119"/>
        <w:gridCol w:w="2424"/>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right"/>
        </w:trPr>
        <w:tc>
          <w:tcPr>
            <w:tcW w:w="1874" w:type="dxa"/>
          </w:tcPr>
          <w:p>
            <w:pPr>
              <w:spacing w:line="240" w:lineRule="auto"/>
              <w:jc w:val="center"/>
              <w:rPr>
                <w:rFonts w:hint="default" w:ascii="Times New Roman" w:hAnsi="Times New Roman" w:eastAsia="宋体"/>
                <w:b w:val="0"/>
                <w:bCs w:val="0"/>
                <w:sz w:val="18"/>
                <w:szCs w:val="18"/>
                <w:lang w:val="en-US" w:eastAsia="zh-CN"/>
              </w:rPr>
            </w:pPr>
          </w:p>
        </w:tc>
        <w:tc>
          <w:tcPr>
            <w:tcW w:w="211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披露框架</w:t>
            </w:r>
          </w:p>
        </w:tc>
        <w:tc>
          <w:tcPr>
            <w:tcW w:w="4332" w:type="dxa"/>
            <w:gridSpan w:val="2"/>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评级框架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right"/>
        </w:trPr>
        <w:tc>
          <w:tcPr>
            <w:tcW w:w="1874" w:type="dxa"/>
          </w:tcPr>
          <w:p>
            <w:pPr>
              <w:spacing w:line="240" w:lineRule="auto"/>
              <w:jc w:val="center"/>
              <w:rPr>
                <w:rFonts w:hint="default" w:ascii="Times New Roman" w:hAnsi="Times New Roman" w:eastAsia="宋体"/>
                <w:b w:val="0"/>
                <w:bCs w:val="0"/>
                <w:sz w:val="18"/>
                <w:szCs w:val="18"/>
                <w:lang w:val="en-US" w:eastAsia="zh-CN"/>
              </w:rPr>
            </w:pPr>
          </w:p>
        </w:tc>
        <w:tc>
          <w:tcPr>
            <w:tcW w:w="211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IFRS</w:t>
            </w:r>
          </w:p>
        </w:tc>
        <w:tc>
          <w:tcPr>
            <w:tcW w:w="242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MSCI</w:t>
            </w:r>
          </w:p>
        </w:tc>
        <w:tc>
          <w:tcPr>
            <w:tcW w:w="1908"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CSA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right"/>
        </w:trPr>
        <w:tc>
          <w:tcPr>
            <w:tcW w:w="187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建筑原材料</w:t>
            </w:r>
          </w:p>
        </w:tc>
        <w:tc>
          <w:tcPr>
            <w:tcW w:w="211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tc>
        <w:tc>
          <w:tcPr>
            <w:tcW w:w="242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tc>
        <w:tc>
          <w:tcPr>
            <w:tcW w:w="1908"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right"/>
        </w:trPr>
        <w:tc>
          <w:tcPr>
            <w:tcW w:w="187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建筑部品产品</w:t>
            </w:r>
          </w:p>
        </w:tc>
        <w:tc>
          <w:tcPr>
            <w:tcW w:w="2119"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tc>
        <w:tc>
          <w:tcPr>
            <w:tcW w:w="2424"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tc>
        <w:tc>
          <w:tcPr>
            <w:tcW w:w="1908" w:type="dxa"/>
          </w:tcPr>
          <w:p>
            <w:pPr>
              <w:spacing w:line="240" w:lineRule="auto"/>
              <w:jc w:val="center"/>
              <w:rPr>
                <w:rFonts w:hint="default"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无明确信息</w:t>
            </w:r>
          </w:p>
        </w:tc>
      </w:tr>
    </w:tbl>
    <w:p>
      <w:pPr>
        <w:pStyle w:val="3"/>
        <w:spacing w:line="360" w:lineRule="auto"/>
        <w:rPr>
          <w:rFonts w:hint="eastAsia"/>
          <w:lang w:val="en-US" w:eastAsia="zh-Hans"/>
        </w:rPr>
      </w:pPr>
      <w:r>
        <w:rPr>
          <w:rFonts w:hint="default"/>
        </w:rPr>
        <w:t>2</w:t>
      </w:r>
      <w:r>
        <w:rPr>
          <w:rFonts w:hint="eastAsia"/>
          <w:lang w:val="en-US" w:eastAsia="zh-Hans"/>
        </w:rPr>
        <w:t>.</w:t>
      </w:r>
      <w:r>
        <w:rPr>
          <w:rFonts w:hint="default"/>
          <w:lang w:eastAsia="zh-Hans"/>
        </w:rPr>
        <w:t>1</w:t>
      </w:r>
      <w:r>
        <w:rPr>
          <w:rFonts w:hint="eastAsia"/>
          <w:lang w:val="en-US" w:eastAsia="zh-CN"/>
        </w:rPr>
        <w:t>0</w:t>
      </w:r>
      <w:r>
        <w:rPr>
          <w:rFonts w:hint="default"/>
          <w:lang w:eastAsia="zh-Hans"/>
        </w:rPr>
        <w:t xml:space="preserve"> </w:t>
      </w:r>
      <w:r>
        <w:rPr>
          <w:rFonts w:hint="eastAsia"/>
          <w:lang w:val="en-US" w:eastAsia="zh-Hans"/>
        </w:rPr>
        <w:t>参考文献</w:t>
      </w:r>
    </w:p>
    <w:p>
      <w:pPr>
        <w:ind w:left="420" w:leftChars="0" w:firstLine="420" w:firstLineChars="0"/>
        <w:rPr>
          <w:rFonts w:hint="eastAsia"/>
          <w:lang w:eastAsia="zh-Hans"/>
        </w:rPr>
      </w:pPr>
      <w:r>
        <w:rPr>
          <w:rFonts w:hint="default"/>
        </w:rPr>
        <w:t>GB 8978、GB 16297、GB/T 24353、GB/T 24420、GB/T 27601、GB/T 36000、GB/T 36001、GB/T 39604</w:t>
      </w:r>
      <w:r>
        <w:rPr>
          <w:rFonts w:hint="eastAsia"/>
          <w:lang w:eastAsia="zh-CN"/>
        </w:rPr>
        <w:t>、</w:t>
      </w:r>
      <w:r>
        <w:rPr>
          <w:rFonts w:hint="eastAsia" w:cs="Times New Roman"/>
          <w:lang w:val="en-US" w:eastAsia="zh-CN"/>
        </w:rPr>
        <w:t>T/CERDS 2-2022</w:t>
      </w:r>
      <w:r>
        <w:rPr>
          <w:rFonts w:hint="eastAsia"/>
          <w:lang w:val="en-US" w:eastAsia="zh-Hans"/>
        </w:rPr>
        <w:t>等国内标准</w:t>
      </w:r>
      <w:r>
        <w:rPr>
          <w:rFonts w:hint="default"/>
          <w:lang w:eastAsia="zh-Hans"/>
        </w:rPr>
        <w:t>，</w:t>
      </w:r>
      <w:r>
        <w:rPr>
          <w:rFonts w:hint="eastAsia"/>
          <w:lang w:val="en-US" w:eastAsia="zh-Hans"/>
        </w:rPr>
        <w:t>以及</w:t>
      </w:r>
      <w:r>
        <w:rPr>
          <w:rFonts w:hint="default"/>
          <w:lang w:eastAsia="zh-Hans"/>
        </w:rPr>
        <w:t>GRI</w:t>
      </w:r>
      <w:r>
        <w:rPr>
          <w:rFonts w:hint="eastAsia"/>
          <w:lang w:val="en-US" w:eastAsia="zh-Hans"/>
        </w:rPr>
        <w:t>系列标准</w:t>
      </w:r>
      <w:r>
        <w:rPr>
          <w:rFonts w:hint="default"/>
          <w:lang w:eastAsia="zh-Hans"/>
        </w:rPr>
        <w:t>、ISO14001、ISO14090</w:t>
      </w:r>
      <w:r>
        <w:rPr>
          <w:rFonts w:hint="eastAsia"/>
          <w:lang w:val="en-US" w:eastAsia="zh-Hans"/>
        </w:rPr>
        <w:t>等国际标准</w:t>
      </w:r>
      <w:r>
        <w:rPr>
          <w:rFonts w:hint="default"/>
          <w:lang w:eastAsia="zh-Hans"/>
        </w:rPr>
        <w:t>，</w:t>
      </w:r>
      <w:r>
        <w:rPr>
          <w:rFonts w:hint="eastAsia"/>
          <w:lang w:val="en-US" w:eastAsia="zh-Hans"/>
        </w:rPr>
        <w:t>包括</w:t>
      </w:r>
      <w:r>
        <w:rPr>
          <w:rFonts w:hint="default"/>
          <w:lang w:eastAsia="zh-Hans"/>
        </w:rPr>
        <w:t>《</w:t>
      </w:r>
      <w:r>
        <w:rPr>
          <w:rFonts w:hint="eastAsia"/>
          <w:lang w:val="en-US" w:eastAsia="zh-Hans"/>
        </w:rPr>
        <w:t>上市公司治理准则</w:t>
      </w:r>
      <w:r>
        <w:rPr>
          <w:rFonts w:hint="default"/>
          <w:lang w:eastAsia="zh-Hans"/>
        </w:rPr>
        <w:t>》、《关于印发《企业环境信息依法披露格式准则》的通知》、《企业环境信息依法披露管理</w:t>
      </w:r>
      <w:r>
        <w:rPr>
          <w:rFonts w:hint="eastAsia"/>
          <w:lang w:val="en-US" w:eastAsia="zh-Hans"/>
        </w:rPr>
        <w:t>办法</w:t>
      </w:r>
      <w:r>
        <w:rPr>
          <w:rFonts w:hint="default"/>
          <w:lang w:eastAsia="zh-Hans"/>
        </w:rPr>
        <w:t>》、《环境信息公开办法（试行）》</w:t>
      </w:r>
      <w:r>
        <w:rPr>
          <w:rFonts w:hint="eastAsia"/>
          <w:lang w:val="en-US" w:eastAsia="zh-Hans"/>
        </w:rPr>
        <w:t>等政策性文件</w:t>
      </w:r>
      <w:r>
        <w:rPr>
          <w:rFonts w:hint="default"/>
          <w:lang w:eastAsia="zh-Hans"/>
        </w:rPr>
        <w:t>，</w:t>
      </w:r>
      <w:r>
        <w:rPr>
          <w:rFonts w:hint="eastAsia"/>
          <w:lang w:val="en-US" w:eastAsia="zh-Hans"/>
        </w:rPr>
        <w:t>是建筑材料行业企业进行</w:t>
      </w:r>
      <w:r>
        <w:rPr>
          <w:rFonts w:hint="default"/>
          <w:lang w:eastAsia="zh-Hans"/>
        </w:rPr>
        <w:t>ESG</w:t>
      </w:r>
      <w:r>
        <w:rPr>
          <w:rFonts w:hint="eastAsia"/>
          <w:lang w:val="en-US" w:eastAsia="zh-Hans"/>
        </w:rPr>
        <w:t>信息披露的重要文件</w:t>
      </w:r>
      <w:r>
        <w:rPr>
          <w:rFonts w:hint="default"/>
          <w:lang w:eastAsia="zh-Hans"/>
        </w:rPr>
        <w:t>，作为本文件的参考文献。</w:t>
      </w:r>
    </w:p>
    <w:p>
      <w:pPr>
        <w:pStyle w:val="2"/>
        <w:numPr>
          <w:ilvl w:val="0"/>
          <w:numId w:val="5"/>
        </w:numPr>
        <w:spacing w:line="360" w:lineRule="auto"/>
        <w:rPr>
          <w:rFonts w:hint="eastAsia"/>
        </w:rPr>
      </w:pPr>
      <w:bookmarkStart w:id="8" w:name="_Hlk48570273"/>
      <w:r>
        <w:rPr>
          <w:rFonts w:hint="eastAsia"/>
        </w:rPr>
        <w:t>主要试验（或验证）情况分析</w:t>
      </w:r>
    </w:p>
    <w:p>
      <w:pPr>
        <w:spacing w:line="360" w:lineRule="auto"/>
        <w:ind w:firstLine="480" w:firstLineChars="200"/>
        <w:rPr>
          <w:rFonts w:ascii="宋体" w:hAnsi="宋体" w:eastAsia="宋体"/>
          <w:sz w:val="24"/>
          <w:szCs w:val="24"/>
        </w:rPr>
      </w:pPr>
      <w:r>
        <w:rPr>
          <w:rFonts w:hint="eastAsia" w:cs="Times New Roman"/>
          <w:sz w:val="24"/>
          <w:szCs w:val="24"/>
          <w:lang w:val="en-US" w:eastAsia="zh-Hans"/>
        </w:rPr>
        <w:t>本文件为指南类标准</w:t>
      </w:r>
      <w:r>
        <w:rPr>
          <w:rFonts w:hint="default" w:cs="Times New Roman"/>
          <w:sz w:val="24"/>
          <w:szCs w:val="24"/>
          <w:lang w:eastAsia="zh-Hans"/>
        </w:rPr>
        <w:t>，</w:t>
      </w:r>
      <w:r>
        <w:rPr>
          <w:rFonts w:hint="eastAsia" w:cs="Times New Roman"/>
          <w:sz w:val="24"/>
          <w:szCs w:val="24"/>
          <w:lang w:val="en-US" w:eastAsia="zh-Hans"/>
        </w:rPr>
        <w:t>不涉及试验或验证情况</w:t>
      </w:r>
      <w:r>
        <w:rPr>
          <w:rFonts w:hint="default" w:cs="Times New Roman"/>
          <w:sz w:val="24"/>
          <w:szCs w:val="24"/>
          <w:lang w:eastAsia="zh-Hans"/>
        </w:rPr>
        <w:t>。</w:t>
      </w:r>
      <w:bookmarkEnd w:id="8"/>
    </w:p>
    <w:p>
      <w:pPr>
        <w:pStyle w:val="2"/>
        <w:spacing w:line="360" w:lineRule="auto"/>
      </w:pPr>
      <w:bookmarkStart w:id="9" w:name="_Hlk48571800"/>
      <w:r>
        <w:rPr>
          <w:rFonts w:hint="eastAsia"/>
        </w:rPr>
        <w:t>4.</w:t>
      </w:r>
      <w:r>
        <w:t xml:space="preserve"> 标准中涉及专利</w:t>
      </w:r>
      <w:r>
        <w:rPr>
          <w:rFonts w:hint="eastAsia"/>
        </w:rPr>
        <w:t>情况</w:t>
      </w:r>
    </w:p>
    <w:p>
      <w:pPr>
        <w:spacing w:line="360" w:lineRule="auto"/>
        <w:ind w:firstLine="480" w:firstLineChars="200"/>
        <w:rPr>
          <w:rFonts w:ascii="宋体" w:hAnsi="宋体" w:eastAsia="宋体"/>
          <w:sz w:val="24"/>
          <w:szCs w:val="24"/>
        </w:rPr>
      </w:pPr>
      <w:r>
        <w:rPr>
          <w:rFonts w:hint="eastAsia" w:ascii="宋体" w:hAnsi="宋体"/>
          <w:sz w:val="24"/>
          <w:szCs w:val="24"/>
          <w:lang w:eastAsia="zh-CN"/>
        </w:rPr>
        <w:t>本文件</w:t>
      </w:r>
      <w:r>
        <w:rPr>
          <w:rFonts w:hint="eastAsia" w:ascii="宋体" w:hAnsi="宋体" w:eastAsia="宋体"/>
          <w:sz w:val="24"/>
          <w:szCs w:val="24"/>
        </w:rPr>
        <w:t>不涉及专利。</w:t>
      </w:r>
    </w:p>
    <w:p>
      <w:pPr>
        <w:pStyle w:val="2"/>
        <w:spacing w:line="360" w:lineRule="auto"/>
      </w:pPr>
      <w:r>
        <w:rPr>
          <w:rFonts w:hint="eastAsia"/>
        </w:rPr>
        <w:t>5.</w:t>
      </w:r>
      <w:r>
        <w:t xml:space="preserve"> </w:t>
      </w:r>
      <w:r>
        <w:rPr>
          <w:rFonts w:hint="eastAsia"/>
        </w:rPr>
        <w:t>产业化情况、推广应用论证和预期达到的经济效果等情况</w:t>
      </w:r>
    </w:p>
    <w:p>
      <w:pPr>
        <w:pStyle w:val="3"/>
        <w:spacing w:line="360" w:lineRule="auto"/>
      </w:pPr>
      <w:r>
        <w:rPr>
          <w:rFonts w:hint="eastAsia"/>
        </w:rPr>
        <w:t>5</w:t>
      </w:r>
      <w:r>
        <w:t xml:space="preserve">.1 </w:t>
      </w:r>
      <w:r>
        <w:rPr>
          <w:rFonts w:hint="eastAsia"/>
        </w:rPr>
        <w:t>经济效益、社会效益、产业规模、推广应用、工程应用情况、预期达到的经济、社会效益</w:t>
      </w:r>
    </w:p>
    <w:p>
      <w:pPr>
        <w:spacing w:line="360" w:lineRule="auto"/>
        <w:ind w:firstLine="480" w:firstLineChars="200"/>
        <w:rPr>
          <w:rFonts w:hint="default" w:cs="Times New Roman"/>
          <w:sz w:val="24"/>
          <w:szCs w:val="24"/>
          <w:lang w:eastAsia="zh-Hans"/>
        </w:rPr>
      </w:pPr>
      <w:r>
        <w:rPr>
          <w:rFonts w:cs="Times New Roman"/>
          <w:sz w:val="24"/>
          <w:szCs w:val="24"/>
        </w:rPr>
        <w:t>2021</w:t>
      </w:r>
      <w:r>
        <w:rPr>
          <w:rFonts w:hint="eastAsia" w:cs="Times New Roman"/>
          <w:sz w:val="24"/>
          <w:szCs w:val="24"/>
          <w:lang w:val="en-US" w:eastAsia="zh-Hans"/>
        </w:rPr>
        <w:t>年</w:t>
      </w:r>
      <w:r>
        <w:rPr>
          <w:rFonts w:hint="default" w:cs="Times New Roman"/>
          <w:sz w:val="24"/>
          <w:szCs w:val="24"/>
          <w:lang w:eastAsia="zh-Hans"/>
        </w:rPr>
        <w:t>2</w:t>
      </w:r>
      <w:r>
        <w:rPr>
          <w:rFonts w:hint="eastAsia" w:cs="Times New Roman"/>
          <w:sz w:val="24"/>
          <w:szCs w:val="24"/>
          <w:lang w:val="en-US" w:eastAsia="zh-Hans"/>
        </w:rPr>
        <w:t>月</w:t>
      </w:r>
      <w:r>
        <w:rPr>
          <w:rFonts w:hint="default" w:cs="Times New Roman"/>
          <w:sz w:val="24"/>
          <w:szCs w:val="24"/>
          <w:lang w:eastAsia="zh-Hans"/>
        </w:rPr>
        <w:t>，</w:t>
      </w:r>
      <w:r>
        <w:rPr>
          <w:rFonts w:hint="eastAsia" w:cs="Times New Roman"/>
          <w:sz w:val="24"/>
          <w:szCs w:val="24"/>
          <w:lang w:val="en-US" w:eastAsia="zh-Hans"/>
        </w:rPr>
        <w:t>国际证监会组织</w:t>
      </w:r>
      <w:r>
        <w:rPr>
          <w:rFonts w:hint="default" w:cs="Times New Roman"/>
          <w:sz w:val="24"/>
          <w:szCs w:val="24"/>
          <w:lang w:eastAsia="zh-Hans"/>
        </w:rPr>
        <w:t>（IOSCO）董事会强调改善可持续信息披露标准的一致性、可比性和可靠性，其中包括“加强企业的行业特定信息以及量化指标披露”</w:t>
      </w:r>
      <w:r>
        <w:rPr>
          <w:rFonts w:ascii="Times New Roman" w:hAnsi="Times New Roman" w:eastAsia="宋体" w:cs="Times New Roman"/>
          <w:sz w:val="24"/>
          <w:szCs w:val="24"/>
        </w:rPr>
        <w:t>。</w:t>
      </w:r>
      <w:r>
        <w:rPr>
          <w:rFonts w:hint="eastAsia" w:ascii="Times New Roman" w:hAnsi="Times New Roman" w:eastAsia="宋体" w:cs="Times New Roman"/>
          <w:sz w:val="24"/>
          <w:szCs w:val="24"/>
        </w:rPr>
        <w:t>GRI于2019年启动行业标准编制计划，目前已发布首个行业标准《GRI 11：石油和天然气行业标准（2021版）》，未来计划发布40个行业标准，煤炭、采矿、农业、水产养殖和渔业的行业标准已在制定中。</w:t>
      </w:r>
      <w:r>
        <w:rPr>
          <w:rFonts w:hint="default" w:cs="Times New Roman"/>
          <w:sz w:val="24"/>
          <w:szCs w:val="24"/>
        </w:rPr>
        <w:t>2020</w:t>
      </w:r>
      <w:r>
        <w:rPr>
          <w:rFonts w:hint="eastAsia" w:cs="Times New Roman"/>
          <w:sz w:val="24"/>
          <w:szCs w:val="24"/>
          <w:lang w:val="en-US" w:eastAsia="zh-Hans"/>
        </w:rPr>
        <w:t>年石化联合会发布了中国石油和化工行业上市公司</w:t>
      </w:r>
      <w:r>
        <w:rPr>
          <w:rFonts w:hint="default" w:cs="Times New Roman"/>
          <w:sz w:val="24"/>
          <w:szCs w:val="24"/>
          <w:lang w:eastAsia="zh-Hans"/>
        </w:rPr>
        <w:t>ESG</w:t>
      </w:r>
      <w:r>
        <w:rPr>
          <w:rFonts w:hint="eastAsia" w:cs="Times New Roman"/>
          <w:sz w:val="24"/>
          <w:szCs w:val="24"/>
          <w:lang w:val="en-US" w:eastAsia="zh-Hans"/>
        </w:rPr>
        <w:t>评级榜单</w:t>
      </w:r>
      <w:r>
        <w:rPr>
          <w:rFonts w:hint="default" w:cs="Times New Roman"/>
          <w:sz w:val="24"/>
          <w:szCs w:val="24"/>
          <w:lang w:eastAsia="zh-Hans"/>
        </w:rPr>
        <w:t>TOP50。</w:t>
      </w:r>
      <w:r>
        <w:rPr>
          <w:rFonts w:hint="eastAsia" w:cs="Times New Roman"/>
          <w:sz w:val="24"/>
          <w:szCs w:val="24"/>
          <w:lang w:val="en-US" w:eastAsia="zh-Hans"/>
        </w:rPr>
        <w:t>行业特定</w:t>
      </w:r>
      <w:r>
        <w:rPr>
          <w:rFonts w:hint="default" w:cs="Times New Roman"/>
          <w:sz w:val="24"/>
          <w:szCs w:val="24"/>
          <w:lang w:eastAsia="zh-Hans"/>
        </w:rPr>
        <w:t>ESG</w:t>
      </w:r>
      <w:r>
        <w:rPr>
          <w:rFonts w:hint="eastAsia" w:cs="Times New Roman"/>
          <w:sz w:val="24"/>
          <w:szCs w:val="24"/>
          <w:lang w:val="en-US" w:eastAsia="zh-Hans"/>
        </w:rPr>
        <w:t>信息披露标准成为趋势</w:t>
      </w:r>
      <w:r>
        <w:rPr>
          <w:rFonts w:hint="default" w:cs="Times New Roman"/>
          <w:sz w:val="24"/>
          <w:szCs w:val="24"/>
          <w:lang w:eastAsia="zh-Hans"/>
        </w:rPr>
        <w:t>。</w:t>
      </w:r>
    </w:p>
    <w:p>
      <w:pPr>
        <w:spacing w:line="360" w:lineRule="auto"/>
        <w:ind w:firstLine="480" w:firstLineChars="200"/>
        <w:rPr>
          <w:rFonts w:hint="default" w:cs="Times New Roman"/>
          <w:sz w:val="24"/>
          <w:szCs w:val="24"/>
          <w:lang w:eastAsia="zh-Hans"/>
        </w:rPr>
      </w:pPr>
      <w:r>
        <w:rPr>
          <w:rFonts w:hint="eastAsia" w:cs="Times New Roman"/>
          <w:sz w:val="24"/>
          <w:szCs w:val="24"/>
          <w:lang w:val="en-US" w:eastAsia="zh-Hans"/>
        </w:rPr>
        <w:t>截止</w:t>
      </w:r>
      <w:r>
        <w:rPr>
          <w:rFonts w:hint="default" w:cs="Times New Roman"/>
          <w:sz w:val="24"/>
          <w:szCs w:val="24"/>
          <w:lang w:eastAsia="zh-Hans"/>
        </w:rPr>
        <w:t>2022</w:t>
      </w:r>
      <w:r>
        <w:rPr>
          <w:rFonts w:hint="eastAsia" w:cs="Times New Roman"/>
          <w:sz w:val="24"/>
          <w:szCs w:val="24"/>
          <w:lang w:val="en-US" w:eastAsia="zh-Hans"/>
        </w:rPr>
        <w:t>年</w:t>
      </w:r>
      <w:r>
        <w:rPr>
          <w:rFonts w:hint="default" w:cs="Times New Roman"/>
          <w:sz w:val="24"/>
          <w:szCs w:val="24"/>
          <w:lang w:eastAsia="zh-Hans"/>
        </w:rPr>
        <w:t>，</w:t>
      </w:r>
      <w:r>
        <w:rPr>
          <w:rFonts w:hint="eastAsia" w:cs="Times New Roman"/>
          <w:sz w:val="24"/>
          <w:szCs w:val="24"/>
          <w:lang w:val="en-US" w:eastAsia="zh-Hans"/>
        </w:rPr>
        <w:t>根据wind基于</w:t>
      </w:r>
      <w:r>
        <w:rPr>
          <w:rFonts w:hint="default" w:cs="Times New Roman"/>
          <w:sz w:val="24"/>
          <w:szCs w:val="24"/>
          <w:lang w:eastAsia="zh-Hans"/>
        </w:rPr>
        <w:t>A</w:t>
      </w:r>
      <w:r>
        <w:rPr>
          <w:rFonts w:hint="eastAsia" w:cs="Times New Roman"/>
          <w:sz w:val="24"/>
          <w:szCs w:val="24"/>
          <w:lang w:val="en-US" w:eastAsia="zh-Hans"/>
        </w:rPr>
        <w:t>股企业</w:t>
      </w:r>
      <w:r>
        <w:rPr>
          <w:rFonts w:hint="default" w:cs="Times New Roman"/>
          <w:sz w:val="24"/>
          <w:szCs w:val="24"/>
          <w:lang w:eastAsia="zh-Hans"/>
        </w:rPr>
        <w:t>ESG</w:t>
      </w:r>
      <w:r>
        <w:rPr>
          <w:rFonts w:hint="eastAsia" w:cs="Times New Roman"/>
          <w:sz w:val="24"/>
          <w:szCs w:val="24"/>
          <w:lang w:val="en-US" w:eastAsia="zh-Hans"/>
        </w:rPr>
        <w:t>信息披露的统计数据</w:t>
      </w:r>
      <w:r>
        <w:rPr>
          <w:rFonts w:hint="default" w:cs="Times New Roman"/>
          <w:sz w:val="24"/>
          <w:szCs w:val="24"/>
          <w:lang w:eastAsia="zh-Hans"/>
        </w:rPr>
        <w:t>，</w:t>
      </w:r>
      <w:r>
        <w:rPr>
          <w:rFonts w:hint="eastAsia" w:cs="Times New Roman"/>
          <w:sz w:val="24"/>
          <w:szCs w:val="24"/>
          <w:lang w:val="en-US" w:eastAsia="zh-Hans"/>
        </w:rPr>
        <w:t>如表</w:t>
      </w:r>
      <w:r>
        <w:rPr>
          <w:rFonts w:hint="eastAsia" w:cs="Times New Roman"/>
          <w:sz w:val="24"/>
          <w:szCs w:val="24"/>
          <w:lang w:val="en-US" w:eastAsia="zh-CN"/>
        </w:rPr>
        <w:t>15</w:t>
      </w:r>
      <w:r>
        <w:rPr>
          <w:rFonts w:hint="default" w:cs="Times New Roman"/>
          <w:sz w:val="24"/>
          <w:szCs w:val="24"/>
          <w:lang w:eastAsia="zh-Hans"/>
        </w:rPr>
        <w:t>，</w:t>
      </w:r>
      <w:r>
        <w:rPr>
          <w:rFonts w:hint="eastAsia" w:cs="Times New Roman"/>
          <w:sz w:val="24"/>
          <w:szCs w:val="24"/>
          <w:lang w:val="en-US" w:eastAsia="zh-Hans"/>
        </w:rPr>
        <w:t>不同行业企业的</w:t>
      </w:r>
      <w:r>
        <w:rPr>
          <w:rFonts w:hint="default" w:cs="Times New Roman"/>
          <w:sz w:val="24"/>
          <w:szCs w:val="24"/>
          <w:lang w:eastAsia="zh-Hans"/>
        </w:rPr>
        <w:t>ESG</w:t>
      </w:r>
      <w:r>
        <w:rPr>
          <w:rFonts w:hint="eastAsia" w:cs="Times New Roman"/>
          <w:sz w:val="24"/>
          <w:szCs w:val="24"/>
          <w:lang w:val="en-US" w:eastAsia="zh-Hans"/>
        </w:rPr>
        <w:t>信息披露存在显著差异</w:t>
      </w:r>
      <w:r>
        <w:rPr>
          <w:rFonts w:hint="default" w:cs="Times New Roman"/>
          <w:sz w:val="24"/>
          <w:szCs w:val="24"/>
          <w:lang w:eastAsia="zh-Hans"/>
        </w:rPr>
        <w:t>。</w:t>
      </w:r>
      <w:r>
        <w:rPr>
          <w:rFonts w:hint="eastAsia" w:cs="Times New Roman"/>
          <w:sz w:val="24"/>
          <w:szCs w:val="24"/>
          <w:lang w:val="en-US" w:eastAsia="zh-Hans"/>
        </w:rPr>
        <w:t>建筑材料行业企业的</w:t>
      </w:r>
      <w:r>
        <w:rPr>
          <w:rFonts w:hint="default" w:cs="Times New Roman"/>
          <w:sz w:val="24"/>
          <w:szCs w:val="24"/>
          <w:lang w:eastAsia="zh-Hans"/>
        </w:rPr>
        <w:t>ESG</w:t>
      </w:r>
      <w:r>
        <w:rPr>
          <w:rFonts w:hint="eastAsia" w:cs="Times New Roman"/>
          <w:sz w:val="24"/>
          <w:szCs w:val="24"/>
          <w:lang w:val="en-US" w:eastAsia="zh-Hans"/>
        </w:rPr>
        <w:t>报告披露率仅为</w:t>
      </w:r>
      <w:r>
        <w:rPr>
          <w:rFonts w:hint="default" w:cs="Times New Roman"/>
          <w:sz w:val="24"/>
          <w:szCs w:val="24"/>
          <w:lang w:eastAsia="zh-Hans"/>
        </w:rPr>
        <w:t>24%，</w:t>
      </w:r>
      <w:r>
        <w:rPr>
          <w:rFonts w:hint="eastAsia" w:cs="Times New Roman"/>
          <w:sz w:val="24"/>
          <w:szCs w:val="24"/>
          <w:lang w:val="en-US" w:eastAsia="zh-Hans"/>
        </w:rPr>
        <w:t>相较于钢铁</w:t>
      </w:r>
      <w:r>
        <w:rPr>
          <w:rFonts w:hint="default" w:cs="Times New Roman"/>
          <w:sz w:val="24"/>
          <w:szCs w:val="24"/>
          <w:lang w:eastAsia="zh-Hans"/>
        </w:rPr>
        <w:t>、</w:t>
      </w:r>
      <w:r>
        <w:rPr>
          <w:rFonts w:hint="eastAsia" w:cs="Times New Roman"/>
          <w:sz w:val="24"/>
          <w:szCs w:val="24"/>
          <w:lang w:val="en-US" w:eastAsia="zh-Hans"/>
        </w:rPr>
        <w:t>煤炭</w:t>
      </w:r>
      <w:r>
        <w:rPr>
          <w:rFonts w:hint="default" w:cs="Times New Roman"/>
          <w:sz w:val="24"/>
          <w:szCs w:val="24"/>
          <w:lang w:eastAsia="zh-Hans"/>
        </w:rPr>
        <w:t>、</w:t>
      </w:r>
      <w:r>
        <w:rPr>
          <w:rFonts w:hint="eastAsia" w:cs="Times New Roman"/>
          <w:sz w:val="24"/>
          <w:szCs w:val="24"/>
          <w:lang w:val="en-US" w:eastAsia="zh-Hans"/>
        </w:rPr>
        <w:t>石油石化等行业</w:t>
      </w:r>
      <w:r>
        <w:rPr>
          <w:rFonts w:hint="default" w:cs="Times New Roman"/>
          <w:sz w:val="24"/>
          <w:szCs w:val="24"/>
          <w:lang w:eastAsia="zh-Hans"/>
        </w:rPr>
        <w:t>，</w:t>
      </w:r>
      <w:r>
        <w:rPr>
          <w:rFonts w:hint="eastAsia" w:cs="Times New Roman"/>
          <w:sz w:val="24"/>
          <w:szCs w:val="24"/>
          <w:lang w:val="en-US" w:eastAsia="zh-Hans"/>
        </w:rPr>
        <w:t>处于较低水平</w:t>
      </w:r>
      <w:r>
        <w:rPr>
          <w:rFonts w:hint="default" w:cs="Times New Roman"/>
          <w:sz w:val="24"/>
          <w:szCs w:val="24"/>
          <w:lang w:eastAsia="zh-Hans"/>
        </w:rPr>
        <w:t>。</w:t>
      </w:r>
    </w:p>
    <w:p>
      <w:pPr>
        <w:widowControl w:val="0"/>
        <w:numPr>
          <w:ilvl w:val="0"/>
          <w:numId w:val="0"/>
        </w:numPr>
        <w:spacing w:line="360" w:lineRule="auto"/>
        <w:jc w:val="center"/>
        <w:rPr>
          <w:rFonts w:hint="eastAsia" w:ascii="黑体" w:hAnsi="黑体" w:eastAsia="黑体" w:cs="黑体"/>
          <w:sz w:val="21"/>
          <w:szCs w:val="21"/>
          <w:lang w:val="en-US" w:eastAsia="zh-Hans"/>
        </w:rPr>
      </w:pPr>
      <w:r>
        <w:rPr>
          <w:rFonts w:hint="eastAsia" w:ascii="黑体" w:hAnsi="黑体" w:eastAsia="黑体" w:cs="黑体"/>
          <w:sz w:val="21"/>
          <w:szCs w:val="21"/>
          <w:lang w:val="en-US" w:eastAsia="zh-Hans"/>
        </w:rPr>
        <w:t>表</w:t>
      </w:r>
      <w:r>
        <w:rPr>
          <w:rFonts w:hint="eastAsia" w:ascii="黑体" w:hAnsi="黑体" w:eastAsia="黑体" w:cs="黑体"/>
          <w:sz w:val="21"/>
          <w:szCs w:val="21"/>
          <w:lang w:val="en-US" w:eastAsia="zh-CN"/>
        </w:rPr>
        <w:t>15</w:t>
      </w:r>
      <w:r>
        <w:rPr>
          <w:rFonts w:hint="default" w:ascii="黑体" w:hAnsi="黑体" w:eastAsia="黑体" w:cs="黑体"/>
          <w:sz w:val="21"/>
          <w:szCs w:val="21"/>
          <w:lang w:val="en-US" w:eastAsia="zh-Hans"/>
        </w:rPr>
        <w:t xml:space="preserve"> </w:t>
      </w:r>
      <w:r>
        <w:rPr>
          <w:rFonts w:hint="eastAsia" w:ascii="黑体" w:hAnsi="黑体" w:eastAsia="黑体" w:cs="黑体"/>
          <w:sz w:val="21"/>
          <w:szCs w:val="21"/>
          <w:lang w:val="en-US" w:eastAsia="zh-Hans"/>
        </w:rPr>
        <w:t>不同行业企业</w:t>
      </w:r>
      <w:r>
        <w:rPr>
          <w:rFonts w:hint="default" w:ascii="黑体" w:hAnsi="黑体" w:eastAsia="黑体" w:cs="黑体"/>
          <w:sz w:val="21"/>
          <w:szCs w:val="21"/>
          <w:lang w:val="en-US" w:eastAsia="zh-Hans"/>
        </w:rPr>
        <w:t>ESG</w:t>
      </w:r>
      <w:r>
        <w:rPr>
          <w:rFonts w:hint="eastAsia" w:ascii="黑体" w:hAnsi="黑体" w:eastAsia="黑体" w:cs="黑体"/>
          <w:sz w:val="21"/>
          <w:szCs w:val="21"/>
          <w:lang w:val="en-US" w:eastAsia="zh-Hans"/>
        </w:rPr>
        <w:t>相关报告披露情况</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240" w:lineRule="auto"/>
              <w:jc w:val="center"/>
              <w:rPr>
                <w:rFonts w:hint="default" w:ascii="Times New Roman" w:hAnsi="Times New Roman" w:eastAsia="宋体"/>
                <w:b/>
                <w:bCs/>
                <w:sz w:val="18"/>
                <w:szCs w:val="18"/>
                <w:lang w:val="en-US" w:eastAsia="zh-Hans"/>
              </w:rPr>
            </w:pPr>
            <w:r>
              <w:rPr>
                <w:rFonts w:hint="eastAsia" w:ascii="Times New Roman" w:hAnsi="Times New Roman" w:eastAsia="宋体"/>
                <w:b/>
                <w:bCs/>
                <w:sz w:val="18"/>
                <w:szCs w:val="18"/>
                <w:lang w:val="en-US" w:eastAsia="zh-Hans"/>
              </w:rPr>
              <w:t>行业</w:t>
            </w:r>
          </w:p>
        </w:tc>
        <w:tc>
          <w:tcPr>
            <w:tcW w:w="2841" w:type="dxa"/>
          </w:tcPr>
          <w:p>
            <w:pPr>
              <w:spacing w:line="240" w:lineRule="auto"/>
              <w:jc w:val="center"/>
              <w:rPr>
                <w:rFonts w:hint="default" w:ascii="Times New Roman" w:hAnsi="Times New Roman" w:eastAsia="宋体"/>
                <w:b/>
                <w:bCs/>
                <w:sz w:val="18"/>
                <w:szCs w:val="18"/>
                <w:lang w:val="en-US" w:eastAsia="zh-Hans"/>
              </w:rPr>
            </w:pPr>
            <w:r>
              <w:rPr>
                <w:rFonts w:hint="eastAsia" w:ascii="Times New Roman" w:hAnsi="Times New Roman" w:eastAsia="宋体"/>
                <w:b/>
                <w:bCs/>
                <w:sz w:val="18"/>
                <w:szCs w:val="18"/>
                <w:lang w:val="en-US" w:eastAsia="zh-Hans"/>
              </w:rPr>
              <w:t>披露企业数量</w:t>
            </w:r>
          </w:p>
        </w:tc>
        <w:tc>
          <w:tcPr>
            <w:tcW w:w="2841" w:type="dxa"/>
          </w:tcPr>
          <w:p>
            <w:pPr>
              <w:spacing w:line="240" w:lineRule="auto"/>
              <w:jc w:val="center"/>
              <w:rPr>
                <w:rFonts w:hint="default" w:ascii="Times New Roman" w:hAnsi="Times New Roman" w:eastAsia="宋体"/>
                <w:b/>
                <w:bCs/>
                <w:sz w:val="18"/>
                <w:szCs w:val="18"/>
                <w:lang w:val="en-US" w:eastAsia="zh-Hans"/>
              </w:rPr>
            </w:pPr>
            <w:r>
              <w:rPr>
                <w:rFonts w:hint="eastAsia" w:ascii="Times New Roman" w:hAnsi="Times New Roman" w:eastAsia="宋体"/>
                <w:b/>
                <w:bCs/>
                <w:sz w:val="18"/>
                <w:szCs w:val="18"/>
                <w:lang w:val="en-US" w:eastAsia="zh-Hans"/>
              </w:rPr>
              <w:t>行业披露率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银行</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42</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非银金融</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69</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钢铁</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27</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60</w:t>
            </w:r>
            <w:r>
              <w:rPr>
                <w:rFonts w:hint="eastAsia" w:ascii="Times New Roman" w:hAnsi="Times New Roman" w:eastAsia="宋体"/>
                <w:b w:val="0"/>
                <w:bCs w:val="0"/>
                <w:sz w:val="18"/>
                <w:szCs w:val="18"/>
                <w:lang w:val="en-US" w:eastAsia="zh-Hans"/>
              </w:rPr>
              <w:t>.</w:t>
            </w:r>
            <w:r>
              <w:rPr>
                <w:rFonts w:hint="default" w:ascii="Times New Roman" w:hAnsi="Times New Roman" w:eastAsia="宋体"/>
                <w:b w:val="0"/>
                <w:bCs w:val="0"/>
                <w:sz w:val="18"/>
                <w:szCs w:val="18"/>
                <w:lang w:val="en-US" w:eastAsia="zh-Han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煤炭</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18</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50</w:t>
            </w:r>
            <w:r>
              <w:rPr>
                <w:rFonts w:hint="eastAsia" w:ascii="Times New Roman" w:hAnsi="Times New Roman" w:eastAsia="宋体"/>
                <w:b w:val="0"/>
                <w:bCs w:val="0"/>
                <w:sz w:val="18"/>
                <w:szCs w:val="18"/>
                <w:lang w:val="en-US" w:eastAsia="zh-Hans"/>
              </w:rPr>
              <w:t>.</w:t>
            </w:r>
            <w:r>
              <w:rPr>
                <w:rFonts w:hint="default" w:ascii="Times New Roman" w:hAnsi="Times New Roman" w:eastAsia="宋体"/>
                <w:b w:val="0"/>
                <w:bCs w:val="0"/>
                <w:sz w:val="18"/>
                <w:szCs w:val="18"/>
                <w:lang w:val="en-US" w:eastAsia="zh-Han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石油石化</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19</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40</w:t>
            </w:r>
            <w:r>
              <w:rPr>
                <w:rFonts w:hint="eastAsia" w:ascii="Times New Roman" w:hAnsi="Times New Roman" w:eastAsia="宋体"/>
                <w:b w:val="0"/>
                <w:bCs w:val="0"/>
                <w:sz w:val="18"/>
                <w:szCs w:val="18"/>
                <w:lang w:val="en-US" w:eastAsia="zh-Hans"/>
              </w:rPr>
              <w:t>.</w:t>
            </w:r>
            <w:r>
              <w:rPr>
                <w:rFonts w:hint="default" w:ascii="Times New Roman" w:hAnsi="Times New Roman" w:eastAsia="宋体"/>
                <w:b w:val="0"/>
                <w:bCs w:val="0"/>
                <w:sz w:val="18"/>
                <w:szCs w:val="18"/>
                <w:lang w:val="en-US" w:eastAsia="zh-Han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有色金属</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48</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36</w:t>
            </w:r>
            <w:r>
              <w:rPr>
                <w:rFonts w:hint="eastAsia" w:ascii="Times New Roman" w:hAnsi="Times New Roman" w:eastAsia="宋体"/>
                <w:b w:val="0"/>
                <w:bCs w:val="0"/>
                <w:sz w:val="18"/>
                <w:szCs w:val="18"/>
                <w:lang w:val="en-US" w:eastAsia="zh-Hans"/>
              </w:rPr>
              <w:t>.</w:t>
            </w:r>
            <w:r>
              <w:rPr>
                <w:rFonts w:hint="default" w:ascii="Times New Roman" w:hAnsi="Times New Roman" w:eastAsia="宋体"/>
                <w:b w:val="0"/>
                <w:bCs w:val="0"/>
                <w:sz w:val="18"/>
                <w:szCs w:val="18"/>
                <w:lang w:val="en-US" w:eastAsia="zh-Han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轻工制造</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45</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33</w:t>
            </w:r>
            <w:r>
              <w:rPr>
                <w:rFonts w:hint="eastAsia" w:ascii="Times New Roman" w:hAnsi="Times New Roman" w:eastAsia="宋体"/>
                <w:b w:val="0"/>
                <w:bCs w:val="0"/>
                <w:sz w:val="18"/>
                <w:szCs w:val="18"/>
                <w:lang w:val="en-US" w:eastAsia="zh-Hans"/>
              </w:rPr>
              <w:t>.</w:t>
            </w:r>
            <w:r>
              <w:rPr>
                <w:rFonts w:hint="default" w:ascii="Times New Roman" w:hAnsi="Times New Roman" w:eastAsia="宋体"/>
                <w:b w:val="0"/>
                <w:bCs w:val="0"/>
                <w:sz w:val="18"/>
                <w:szCs w:val="18"/>
                <w:lang w:val="en-US" w:eastAsia="zh-Han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建筑材料</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24</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31</w:t>
            </w:r>
            <w:r>
              <w:rPr>
                <w:rFonts w:hint="eastAsia" w:ascii="Times New Roman" w:hAnsi="Times New Roman" w:eastAsia="宋体"/>
                <w:b w:val="0"/>
                <w:bCs w:val="0"/>
                <w:sz w:val="18"/>
                <w:szCs w:val="18"/>
                <w:lang w:val="en-US" w:eastAsia="zh-Hans"/>
              </w:rPr>
              <w:t>.</w:t>
            </w:r>
            <w:r>
              <w:rPr>
                <w:rFonts w:hint="default" w:ascii="Times New Roman" w:hAnsi="Times New Roman" w:eastAsia="宋体"/>
                <w:b w:val="0"/>
                <w:bCs w:val="0"/>
                <w:sz w:val="18"/>
                <w:szCs w:val="18"/>
                <w:lang w:val="en-US" w:eastAsia="zh-Han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环保</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34</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29</w:t>
            </w:r>
            <w:r>
              <w:rPr>
                <w:rFonts w:hint="eastAsia" w:ascii="Times New Roman" w:hAnsi="Times New Roman" w:eastAsia="宋体"/>
                <w:b w:val="0"/>
                <w:bCs w:val="0"/>
                <w:sz w:val="18"/>
                <w:szCs w:val="18"/>
                <w:lang w:val="en-US" w:eastAsia="zh-Hans"/>
              </w:rPr>
              <w:t>.</w:t>
            </w:r>
            <w:r>
              <w:rPr>
                <w:rFonts w:hint="default" w:ascii="Times New Roman" w:hAnsi="Times New Roman" w:eastAsia="宋体"/>
                <w:b w:val="0"/>
                <w:bCs w:val="0"/>
                <w:sz w:val="18"/>
                <w:szCs w:val="18"/>
                <w:lang w:val="en-US" w:eastAsia="zh-Han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240" w:lineRule="auto"/>
              <w:jc w:val="center"/>
              <w:rPr>
                <w:rFonts w:hint="eastAsia"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汽车</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54</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22</w:t>
            </w:r>
            <w:r>
              <w:rPr>
                <w:rFonts w:hint="eastAsia" w:ascii="Times New Roman" w:hAnsi="Times New Roman" w:eastAsia="宋体"/>
                <w:b w:val="0"/>
                <w:bCs w:val="0"/>
                <w:sz w:val="18"/>
                <w:szCs w:val="18"/>
                <w:lang w:val="en-US" w:eastAsia="zh-Hans"/>
              </w:rPr>
              <w:t>.</w:t>
            </w:r>
            <w:r>
              <w:rPr>
                <w:rFonts w:hint="default" w:ascii="Times New Roman" w:hAnsi="Times New Roman" w:eastAsia="宋体"/>
                <w:b w:val="0"/>
                <w:bCs w:val="0"/>
                <w:sz w:val="18"/>
                <w:szCs w:val="18"/>
                <w:lang w:val="en-US" w:eastAsia="zh-Han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240" w:lineRule="auto"/>
              <w:jc w:val="center"/>
              <w:rPr>
                <w:rFonts w:hint="eastAsia"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建筑装饰</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34</w:t>
            </w:r>
          </w:p>
        </w:tc>
        <w:tc>
          <w:tcPr>
            <w:tcW w:w="2841" w:type="dxa"/>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22</w:t>
            </w:r>
            <w:r>
              <w:rPr>
                <w:rFonts w:hint="eastAsia" w:ascii="Times New Roman" w:hAnsi="Times New Roman" w:eastAsia="宋体"/>
                <w:b w:val="0"/>
                <w:bCs w:val="0"/>
                <w:sz w:val="18"/>
                <w:szCs w:val="18"/>
                <w:lang w:val="en-US" w:eastAsia="zh-Hans"/>
              </w:rPr>
              <w:t>.</w:t>
            </w:r>
            <w:r>
              <w:rPr>
                <w:rFonts w:hint="default" w:ascii="Times New Roman" w:hAnsi="Times New Roman" w:eastAsia="宋体"/>
                <w:b w:val="0"/>
                <w:bCs w:val="0"/>
                <w:sz w:val="18"/>
                <w:szCs w:val="18"/>
                <w:lang w:val="en-US" w:eastAsia="zh-Hans"/>
              </w:rPr>
              <w:t>5%</w:t>
            </w:r>
          </w:p>
        </w:tc>
      </w:tr>
    </w:tbl>
    <w:p>
      <w:pPr>
        <w:spacing w:line="360" w:lineRule="auto"/>
        <w:ind w:firstLine="420" w:firstLineChars="200"/>
        <w:jc w:val="both"/>
        <w:rPr>
          <w:rFonts w:hint="default" w:cs="Times New Roman"/>
          <w:sz w:val="21"/>
          <w:szCs w:val="21"/>
          <w:lang w:val="en-US" w:eastAsia="zh-Hans"/>
        </w:rPr>
      </w:pPr>
      <w:r>
        <w:rPr>
          <w:rFonts w:hint="eastAsia" w:cs="Times New Roman"/>
          <w:sz w:val="21"/>
          <w:szCs w:val="21"/>
          <w:lang w:val="en-US" w:eastAsia="zh-Hans"/>
        </w:rPr>
        <w:t>注</w:t>
      </w:r>
      <w:r>
        <w:rPr>
          <w:rFonts w:hint="default" w:cs="Times New Roman"/>
          <w:sz w:val="21"/>
          <w:szCs w:val="21"/>
          <w:lang w:eastAsia="zh-Hans"/>
        </w:rPr>
        <w:t>：</w:t>
      </w:r>
      <w:r>
        <w:rPr>
          <w:rFonts w:hint="eastAsia" w:cs="Times New Roman"/>
          <w:sz w:val="21"/>
          <w:szCs w:val="21"/>
          <w:lang w:val="en-US" w:eastAsia="zh-Hans"/>
        </w:rPr>
        <w:t>数据来源</w:t>
      </w:r>
      <w:r>
        <w:rPr>
          <w:rFonts w:hint="default" w:cs="Times New Roman"/>
          <w:sz w:val="21"/>
          <w:szCs w:val="21"/>
          <w:lang w:eastAsia="zh-Hans"/>
        </w:rPr>
        <w:t>：</w:t>
      </w:r>
      <w:r>
        <w:rPr>
          <w:rFonts w:hint="eastAsia" w:cs="Times New Roman"/>
          <w:sz w:val="21"/>
          <w:szCs w:val="21"/>
          <w:lang w:val="en-US" w:eastAsia="zh-Hans"/>
        </w:rPr>
        <w:t>wind</w:t>
      </w:r>
    </w:p>
    <w:p>
      <w:pPr>
        <w:spacing w:line="360" w:lineRule="auto"/>
        <w:ind w:firstLine="480" w:firstLineChars="200"/>
        <w:rPr>
          <w:rFonts w:hint="default" w:cs="Times New Roman"/>
          <w:sz w:val="24"/>
          <w:szCs w:val="24"/>
          <w:lang w:val="en-US" w:eastAsia="zh-Hans"/>
        </w:rPr>
      </w:pPr>
      <w:r>
        <w:rPr>
          <w:rFonts w:hint="eastAsia" w:cs="Times New Roman"/>
          <w:sz w:val="24"/>
          <w:szCs w:val="24"/>
          <w:lang w:val="en-US" w:eastAsia="zh-Hans"/>
        </w:rPr>
        <w:t>另外</w:t>
      </w:r>
      <w:r>
        <w:rPr>
          <w:rFonts w:hint="default" w:cs="Times New Roman"/>
          <w:sz w:val="24"/>
          <w:szCs w:val="24"/>
          <w:lang w:eastAsia="zh-Hans"/>
        </w:rPr>
        <w:t>，</w:t>
      </w:r>
      <w:r>
        <w:rPr>
          <w:rFonts w:hint="eastAsia" w:cs="Times New Roman"/>
          <w:sz w:val="24"/>
          <w:szCs w:val="24"/>
          <w:lang w:val="en-US" w:eastAsia="zh-Hans"/>
        </w:rPr>
        <w:t>根据《可持续信息披露标准研究——全球趋势与中国实践》，从投资机构、评级机构、指数公司等信息使用方的角度来说，现阶段</w:t>
      </w:r>
      <w:r>
        <w:rPr>
          <w:rFonts w:hint="default" w:cs="Times New Roman"/>
          <w:sz w:val="24"/>
          <w:szCs w:val="24"/>
          <w:lang w:eastAsia="zh-Hans"/>
        </w:rPr>
        <w:t>，</w:t>
      </w:r>
      <w:r>
        <w:rPr>
          <w:rFonts w:hint="eastAsia" w:cs="Times New Roman"/>
          <w:sz w:val="24"/>
          <w:szCs w:val="24"/>
          <w:lang w:val="en-US" w:eastAsia="zh-Hans"/>
        </w:rPr>
        <w:t>中国ESG信息披露存在以下问题：1）信息披露不足，自愿披露欠缺，公开数据较少，导致数据可得性较低；2）披露内容不全，披露主体选择性大，对自身有利的数据，隐藏不利信息，导致数据不完整；3）定量披露不多，定性披露为主，量化使用等存在困难；4）披露规范性不高，不同上市公司对于同一指标披露的口径非常不一致，甚至同一上市公司不同年度披露的指标、范围和计算方法也不一致，造成数据可比性差、运用效果不佳5）数据更新不够，年度披露的数据对于投资时的评级或评分非常滞后，存在时效性的缺失。此外，香港中文大学发布的《2021年度中国资管行业ESG投资发展研究报告》也指出，内地被访机构中，63%的机构认为ESG投资的最大障碍是“上市公司ESG相关信息难以获取，信息不完整或可信度不高”。</w:t>
      </w:r>
    </w:p>
    <w:p>
      <w:pPr>
        <w:spacing w:line="360" w:lineRule="auto"/>
        <w:ind w:firstLine="480" w:firstLineChars="200"/>
        <w:rPr>
          <w:rFonts w:hint="eastAsia" w:cs="Times New Roman"/>
          <w:sz w:val="24"/>
          <w:szCs w:val="24"/>
        </w:rPr>
      </w:pPr>
      <w:r>
        <w:rPr>
          <w:rFonts w:hint="eastAsia" w:cs="Times New Roman"/>
          <w:sz w:val="24"/>
          <w:szCs w:val="24"/>
          <w:lang w:val="en-US" w:eastAsia="zh-Hans"/>
        </w:rPr>
        <w:t>而建筑材料行业企业</w:t>
      </w:r>
      <w:r>
        <w:rPr>
          <w:rFonts w:hint="default" w:cs="Times New Roman"/>
          <w:sz w:val="24"/>
          <w:szCs w:val="24"/>
          <w:lang w:eastAsia="zh-Hans"/>
        </w:rPr>
        <w:t>ESG</w:t>
      </w:r>
      <w:r>
        <w:rPr>
          <w:rFonts w:hint="eastAsia" w:cs="Times New Roman"/>
          <w:sz w:val="24"/>
          <w:szCs w:val="24"/>
          <w:lang w:val="en-US" w:eastAsia="zh-Hans"/>
        </w:rPr>
        <w:t>信息披露标准的发布</w:t>
      </w:r>
      <w:r>
        <w:rPr>
          <w:rFonts w:hint="default" w:cs="Times New Roman"/>
          <w:sz w:val="24"/>
          <w:szCs w:val="24"/>
          <w:lang w:eastAsia="zh-Hans"/>
        </w:rPr>
        <w:t>，</w:t>
      </w:r>
      <w:r>
        <w:rPr>
          <w:rFonts w:hint="eastAsia" w:cs="Times New Roman"/>
          <w:sz w:val="24"/>
          <w:szCs w:val="24"/>
          <w:lang w:val="en-US" w:eastAsia="zh-Hans"/>
        </w:rPr>
        <w:t>从制度上弥补了国内建材行业</w:t>
      </w:r>
      <w:r>
        <w:rPr>
          <w:rFonts w:hint="default" w:cs="Times New Roman"/>
          <w:sz w:val="24"/>
          <w:szCs w:val="24"/>
          <w:lang w:eastAsia="zh-Hans"/>
        </w:rPr>
        <w:t>ESG</w:t>
      </w:r>
      <w:r>
        <w:rPr>
          <w:rFonts w:hint="eastAsia" w:cs="Times New Roman"/>
          <w:sz w:val="24"/>
          <w:szCs w:val="24"/>
          <w:lang w:val="en-US" w:eastAsia="zh-Hans"/>
        </w:rPr>
        <w:t>披露标准领域的空白</w:t>
      </w:r>
      <w:r>
        <w:rPr>
          <w:rFonts w:hint="default" w:cs="Times New Roman"/>
          <w:sz w:val="24"/>
          <w:szCs w:val="24"/>
          <w:lang w:eastAsia="zh-Hans"/>
        </w:rPr>
        <w:t>，</w:t>
      </w:r>
      <w:r>
        <w:rPr>
          <w:rFonts w:hint="eastAsia" w:cs="Times New Roman"/>
          <w:sz w:val="24"/>
          <w:szCs w:val="24"/>
        </w:rPr>
        <w:t>对</w:t>
      </w:r>
      <w:r>
        <w:rPr>
          <w:rFonts w:hint="eastAsia" w:cs="Times New Roman"/>
          <w:sz w:val="24"/>
          <w:szCs w:val="24"/>
          <w:lang w:val="en-US" w:eastAsia="zh-Hans"/>
        </w:rPr>
        <w:t>建材行业</w:t>
      </w:r>
      <w:r>
        <w:rPr>
          <w:rFonts w:hint="eastAsia" w:cs="Times New Roman"/>
          <w:sz w:val="24"/>
          <w:szCs w:val="24"/>
        </w:rPr>
        <w:t>所有有披露需求的主体来说，可作为企业自我评价和第三方评价的共同参考依据</w:t>
      </w:r>
      <w:r>
        <w:rPr>
          <w:rFonts w:hint="default" w:cs="Times New Roman"/>
          <w:sz w:val="24"/>
          <w:szCs w:val="24"/>
        </w:rPr>
        <w:t>，</w:t>
      </w:r>
      <w:r>
        <w:rPr>
          <w:rFonts w:hint="eastAsia" w:cs="Times New Roman"/>
          <w:sz w:val="24"/>
          <w:szCs w:val="24"/>
          <w:lang w:val="en-US" w:eastAsia="zh-Hans"/>
        </w:rPr>
        <w:t>进而改善建材行业的</w:t>
      </w:r>
      <w:r>
        <w:rPr>
          <w:rFonts w:hint="default" w:cs="Times New Roman"/>
          <w:sz w:val="24"/>
          <w:szCs w:val="24"/>
          <w:lang w:eastAsia="zh-Hans"/>
        </w:rPr>
        <w:t>ESG</w:t>
      </w:r>
      <w:r>
        <w:rPr>
          <w:rFonts w:hint="eastAsia" w:cs="Times New Roman"/>
          <w:sz w:val="24"/>
          <w:szCs w:val="24"/>
          <w:lang w:val="en-US" w:eastAsia="zh-Hans"/>
        </w:rPr>
        <w:t>披露现状的不足</w:t>
      </w:r>
      <w:r>
        <w:rPr>
          <w:rFonts w:hint="default" w:cs="Times New Roman"/>
          <w:sz w:val="24"/>
          <w:szCs w:val="24"/>
          <w:lang w:eastAsia="zh-Hans"/>
        </w:rPr>
        <w:t>，</w:t>
      </w:r>
      <w:r>
        <w:rPr>
          <w:rFonts w:hint="eastAsia" w:cs="Times New Roman"/>
          <w:sz w:val="24"/>
          <w:szCs w:val="24"/>
          <w:lang w:val="en-US" w:eastAsia="zh-Hans"/>
        </w:rPr>
        <w:t>提升建材行业的</w:t>
      </w:r>
      <w:r>
        <w:rPr>
          <w:rFonts w:hint="default" w:cs="Times New Roman"/>
          <w:sz w:val="24"/>
          <w:szCs w:val="24"/>
          <w:lang w:eastAsia="zh-Hans"/>
        </w:rPr>
        <w:t>ESG</w:t>
      </w:r>
      <w:r>
        <w:rPr>
          <w:rFonts w:hint="eastAsia" w:cs="Times New Roman"/>
          <w:sz w:val="24"/>
          <w:szCs w:val="24"/>
          <w:lang w:val="en-US" w:eastAsia="zh-Hans"/>
        </w:rPr>
        <w:t>披露质量与披露率</w:t>
      </w:r>
      <w:r>
        <w:rPr>
          <w:rFonts w:hint="default" w:cs="Times New Roman"/>
          <w:sz w:val="24"/>
          <w:szCs w:val="24"/>
          <w:lang w:eastAsia="zh-Hans"/>
        </w:rPr>
        <w:t>，</w:t>
      </w:r>
      <w:r>
        <w:rPr>
          <w:rFonts w:hint="eastAsia" w:cs="Times New Roman"/>
          <w:sz w:val="24"/>
          <w:szCs w:val="24"/>
          <w:lang w:val="en-US" w:eastAsia="zh-Hans"/>
        </w:rPr>
        <w:t>逐渐提升建材行业企业的</w:t>
      </w:r>
      <w:r>
        <w:rPr>
          <w:rFonts w:hint="default" w:cs="Times New Roman"/>
          <w:sz w:val="24"/>
          <w:szCs w:val="24"/>
          <w:lang w:eastAsia="zh-Hans"/>
        </w:rPr>
        <w:t>ESG信息披露的全面性、完备程度、可靠性、详细程度。</w:t>
      </w:r>
    </w:p>
    <w:p>
      <w:pPr>
        <w:pStyle w:val="2"/>
        <w:spacing w:line="360" w:lineRule="auto"/>
      </w:pPr>
      <w:r>
        <w:rPr>
          <w:rFonts w:hint="eastAsia"/>
        </w:rPr>
        <w:t>6.</w:t>
      </w:r>
      <w:r>
        <w:t xml:space="preserve"> 采用国际标准和国外先进标准情况，与国际、国外同类标准水平的对比情况，国内外关键指标对比分析或与测试的国外样品、样机的相关数据对比情况</w:t>
      </w:r>
      <w:bookmarkEnd w:id="9"/>
    </w:p>
    <w:p>
      <w:pPr>
        <w:spacing w:line="360" w:lineRule="auto"/>
        <w:ind w:firstLine="420" w:firstLineChars="0"/>
        <w:jc w:val="both"/>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当前国际主流ESG信息披露工具包括两种，一种是框架，一种是标准。前者偏宏观，指关于构建和准备信息与所涵盖议题的一系列概念和原则</w:t>
      </w:r>
      <w:r>
        <w:rPr>
          <w:rFonts w:hint="default" w:cs="Times New Roman"/>
          <w:sz w:val="24"/>
          <w:szCs w:val="24"/>
        </w:rPr>
        <w:t>，</w:t>
      </w:r>
      <w:r>
        <w:rPr>
          <w:rFonts w:hint="eastAsia" w:cs="Times New Roman"/>
          <w:sz w:val="24"/>
          <w:szCs w:val="24"/>
          <w:lang w:val="en-US" w:eastAsia="zh-Hans"/>
        </w:rPr>
        <w:t>如</w:t>
      </w:r>
      <w:r>
        <w:rPr>
          <w:rFonts w:hint="default" w:cs="Times New Roman"/>
          <w:sz w:val="24"/>
          <w:szCs w:val="24"/>
          <w:lang w:eastAsia="zh-Hans"/>
        </w:rPr>
        <w:t>TCFD</w:t>
      </w:r>
      <w:r>
        <w:rPr>
          <w:rFonts w:hint="eastAsia" w:cs="Times New Roman"/>
          <w:sz w:val="24"/>
          <w:szCs w:val="24"/>
          <w:lang w:val="en-US" w:eastAsia="zh-Hans"/>
        </w:rPr>
        <w:t>发布的</w:t>
      </w:r>
      <w:r>
        <w:rPr>
          <w:rFonts w:hint="default" w:cs="Times New Roman"/>
          <w:sz w:val="24"/>
          <w:szCs w:val="24"/>
          <w:lang w:eastAsia="zh-Hans"/>
        </w:rPr>
        <w:t>TCFD</w:t>
      </w:r>
      <w:r>
        <w:rPr>
          <w:rFonts w:hint="eastAsia" w:cs="Times New Roman"/>
          <w:sz w:val="24"/>
          <w:szCs w:val="24"/>
          <w:lang w:val="en-US" w:eastAsia="zh-Hans"/>
        </w:rPr>
        <w:t>四要素气候信息披露框架</w:t>
      </w:r>
      <w:r>
        <w:rPr>
          <w:rFonts w:hint="default" w:cs="Times New Roman"/>
          <w:sz w:val="24"/>
          <w:szCs w:val="24"/>
          <w:lang w:eastAsia="zh-Hans"/>
        </w:rPr>
        <w:t>、CDSB</w:t>
      </w:r>
      <w:r>
        <w:rPr>
          <w:rFonts w:hint="eastAsia" w:cs="Times New Roman"/>
          <w:sz w:val="24"/>
          <w:szCs w:val="24"/>
          <w:lang w:val="en-US" w:eastAsia="zh-Hans"/>
        </w:rPr>
        <w:t>发布的</w:t>
      </w:r>
      <w:r>
        <w:rPr>
          <w:rFonts w:hint="default" w:cs="Times New Roman"/>
          <w:sz w:val="24"/>
          <w:szCs w:val="24"/>
          <w:lang w:eastAsia="zh-Hans"/>
        </w:rPr>
        <w:t>《CDSB</w:t>
      </w:r>
      <w:r>
        <w:rPr>
          <w:rFonts w:hint="eastAsia" w:cs="Times New Roman"/>
          <w:sz w:val="24"/>
          <w:szCs w:val="24"/>
          <w:lang w:val="en-US" w:eastAsia="zh-Hans"/>
        </w:rPr>
        <w:t>环境与气候变化披露框架</w:t>
      </w:r>
      <w:r>
        <w:rPr>
          <w:rFonts w:hint="default" w:cs="Times New Roman"/>
          <w:sz w:val="24"/>
          <w:szCs w:val="24"/>
          <w:lang w:eastAsia="zh-Hans"/>
        </w:rPr>
        <w:t>》</w:t>
      </w:r>
      <w:r>
        <w:rPr>
          <w:rFonts w:hint="eastAsia" w:ascii="Times New Roman" w:hAnsi="Times New Roman" w:eastAsia="宋体" w:cs="Times New Roman"/>
          <w:sz w:val="24"/>
          <w:szCs w:val="24"/>
        </w:rPr>
        <w:t>；后者偏微观，指导企业在不同议题下应当披露什么指标，指标如何计算以及有何种要求等</w:t>
      </w:r>
      <w:r>
        <w:rPr>
          <w:rFonts w:hint="default" w:cs="Times New Roman"/>
          <w:sz w:val="24"/>
          <w:szCs w:val="24"/>
        </w:rPr>
        <w:t>，</w:t>
      </w:r>
      <w:r>
        <w:rPr>
          <w:rFonts w:hint="eastAsia" w:cs="Times New Roman"/>
          <w:sz w:val="24"/>
          <w:szCs w:val="24"/>
          <w:lang w:val="en-US" w:eastAsia="zh-Hans"/>
        </w:rPr>
        <w:t>例如</w:t>
      </w:r>
      <w:r>
        <w:rPr>
          <w:rFonts w:hint="default" w:cs="Times New Roman"/>
          <w:sz w:val="24"/>
          <w:szCs w:val="24"/>
          <w:lang w:eastAsia="zh-Hans"/>
        </w:rPr>
        <w:t>GRI</w:t>
      </w:r>
      <w:r>
        <w:rPr>
          <w:rFonts w:hint="eastAsia" w:cs="Times New Roman"/>
          <w:sz w:val="24"/>
          <w:szCs w:val="24"/>
          <w:lang w:val="en-US" w:eastAsia="zh-Hans"/>
        </w:rPr>
        <w:t>发布的可持续发展报告指引</w:t>
      </w:r>
      <w:r>
        <w:rPr>
          <w:rFonts w:hint="default" w:cs="Times New Roman"/>
          <w:sz w:val="24"/>
          <w:szCs w:val="24"/>
          <w:lang w:eastAsia="zh-Hans"/>
        </w:rPr>
        <w:t>、SASB</w:t>
      </w:r>
      <w:r>
        <w:rPr>
          <w:rFonts w:hint="eastAsia" w:cs="Times New Roman"/>
          <w:sz w:val="24"/>
          <w:szCs w:val="24"/>
          <w:lang w:val="en-US" w:eastAsia="zh-Hans"/>
        </w:rPr>
        <w:t>发布的</w:t>
      </w:r>
      <w:r>
        <w:rPr>
          <w:rFonts w:hint="default" w:cs="Times New Roman"/>
          <w:sz w:val="24"/>
          <w:szCs w:val="24"/>
          <w:lang w:eastAsia="zh-Hans"/>
        </w:rPr>
        <w:t>《</w:t>
      </w:r>
      <w:r>
        <w:rPr>
          <w:rFonts w:hint="eastAsia" w:cs="Times New Roman"/>
          <w:sz w:val="24"/>
          <w:szCs w:val="24"/>
          <w:lang w:val="en-US" w:eastAsia="zh-Hans"/>
        </w:rPr>
        <w:t>可持续会计指引</w:t>
      </w:r>
      <w:r>
        <w:rPr>
          <w:rFonts w:hint="default" w:cs="Times New Roman"/>
          <w:sz w:val="24"/>
          <w:szCs w:val="24"/>
          <w:lang w:eastAsia="zh-Hans"/>
        </w:rPr>
        <w:t>》</w:t>
      </w:r>
      <w:r>
        <w:rPr>
          <w:rFonts w:hint="eastAsia" w:ascii="Times New Roman" w:hAnsi="Times New Roman" w:eastAsia="宋体" w:cs="Times New Roman"/>
          <w:sz w:val="24"/>
          <w:szCs w:val="24"/>
        </w:rPr>
        <w:t>。为便于描述，本文</w:t>
      </w:r>
      <w:r>
        <w:rPr>
          <w:rFonts w:hint="eastAsia" w:cs="Times New Roman"/>
          <w:sz w:val="24"/>
          <w:szCs w:val="24"/>
          <w:lang w:val="en-US" w:eastAsia="zh-Hans"/>
        </w:rPr>
        <w:t>件</w:t>
      </w:r>
      <w:r>
        <w:rPr>
          <w:rFonts w:hint="eastAsia" w:ascii="Times New Roman" w:hAnsi="Times New Roman" w:eastAsia="宋体" w:cs="Times New Roman"/>
          <w:sz w:val="24"/>
          <w:szCs w:val="24"/>
        </w:rPr>
        <w:t>将两种ESG信息披露工具均称为ESG信息披露标准。</w:t>
      </w:r>
    </w:p>
    <w:p>
      <w:pPr>
        <w:spacing w:line="360" w:lineRule="auto"/>
        <w:ind w:firstLine="420" w:firstLineChars="0"/>
        <w:jc w:val="both"/>
        <w:rPr>
          <w:rFonts w:hint="default" w:cs="Times New Roman"/>
          <w:sz w:val="24"/>
          <w:szCs w:val="24"/>
          <w:lang w:eastAsia="zh-Hans"/>
        </w:rPr>
      </w:pPr>
      <w:r>
        <w:rPr>
          <w:rFonts w:hint="eastAsia" w:ascii="Times New Roman" w:hAnsi="Times New Roman" w:eastAsia="宋体" w:cs="Times New Roman"/>
          <w:sz w:val="24"/>
          <w:szCs w:val="24"/>
        </w:rPr>
        <w:t>市场上ESG信息披露标准</w:t>
      </w:r>
      <w:r>
        <w:rPr>
          <w:rFonts w:hint="eastAsia" w:cs="Times New Roman"/>
          <w:sz w:val="24"/>
          <w:szCs w:val="24"/>
          <w:lang w:val="en-US" w:eastAsia="zh-Hans"/>
        </w:rPr>
        <w:t>的适用性</w:t>
      </w:r>
      <w:r>
        <w:rPr>
          <w:rFonts w:hint="eastAsia" w:ascii="Times New Roman" w:hAnsi="Times New Roman" w:eastAsia="宋体" w:cs="Times New Roman"/>
          <w:sz w:val="24"/>
          <w:szCs w:val="24"/>
        </w:rPr>
        <w:t>存在一些问题。一是ESG信息披露标准各有侧重、标准存在差异，部分标准仅关注环境层面或对于部分主题是有缺失的。例如GRI主要侧重于经济、环境和社会影响，缺少治理层面指标，而TCFD、CDSB、CDP等均只关注环境或气候层面的信息披露。二是正是由于标准不统一，在ESG</w:t>
      </w:r>
      <w:r>
        <w:rPr>
          <w:rFonts w:hint="eastAsia" w:cs="Times New Roman"/>
          <w:sz w:val="24"/>
          <w:szCs w:val="24"/>
          <w:lang w:val="en-US" w:eastAsia="zh-Hans"/>
        </w:rPr>
        <w:t>信息披露</w:t>
      </w:r>
      <w:r>
        <w:rPr>
          <w:rFonts w:hint="eastAsia" w:ascii="Times New Roman" w:hAnsi="Times New Roman" w:eastAsia="宋体" w:cs="Times New Roman"/>
          <w:sz w:val="24"/>
          <w:szCs w:val="24"/>
        </w:rPr>
        <w:t>政策不明确的情况下，企业采用不同标准披露的ESG信息可比性不足。三是对于中国来说，由于主流标准均由国外组织建立，因此不一定能充分体现中国企业可持续发展的全貌。</w:t>
      </w:r>
      <w:r>
        <w:rPr>
          <w:rFonts w:hint="eastAsia" w:cs="Times New Roman"/>
          <w:sz w:val="24"/>
          <w:szCs w:val="24"/>
          <w:lang w:val="en-US" w:eastAsia="zh-Hans"/>
        </w:rPr>
        <w:t>四是对于建材行业而言</w:t>
      </w:r>
      <w:r>
        <w:rPr>
          <w:rFonts w:hint="default" w:cs="Times New Roman"/>
          <w:sz w:val="24"/>
          <w:szCs w:val="24"/>
          <w:lang w:eastAsia="zh-Hans"/>
        </w:rPr>
        <w:t>，</w:t>
      </w:r>
      <w:r>
        <w:rPr>
          <w:rFonts w:hint="eastAsia" w:cs="Times New Roman"/>
          <w:sz w:val="24"/>
          <w:szCs w:val="24"/>
          <w:lang w:val="en-US" w:eastAsia="zh-Hans"/>
        </w:rPr>
        <w:t>其资源能源依赖性特点往往不利于其</w:t>
      </w:r>
      <w:r>
        <w:rPr>
          <w:rFonts w:hint="default" w:cs="Times New Roman"/>
          <w:sz w:val="24"/>
          <w:szCs w:val="24"/>
          <w:lang w:eastAsia="zh-Hans"/>
        </w:rPr>
        <w:t>ESG</w:t>
      </w:r>
      <w:r>
        <w:rPr>
          <w:rFonts w:hint="eastAsia" w:cs="Times New Roman"/>
          <w:sz w:val="24"/>
          <w:szCs w:val="24"/>
          <w:lang w:val="en-US" w:eastAsia="zh-Hans"/>
        </w:rPr>
        <w:t>表现</w:t>
      </w:r>
      <w:r>
        <w:rPr>
          <w:rFonts w:hint="default" w:cs="Times New Roman"/>
          <w:sz w:val="24"/>
          <w:szCs w:val="24"/>
          <w:lang w:eastAsia="zh-Hans"/>
        </w:rPr>
        <w:t>，</w:t>
      </w:r>
      <w:r>
        <w:rPr>
          <w:rFonts w:hint="eastAsia" w:cs="Times New Roman"/>
          <w:sz w:val="24"/>
          <w:szCs w:val="24"/>
          <w:lang w:val="en-US" w:eastAsia="zh-Hans"/>
        </w:rPr>
        <w:t>这主要是由于在一般社会环境下</w:t>
      </w:r>
      <w:r>
        <w:rPr>
          <w:rFonts w:hint="default" w:cs="Times New Roman"/>
          <w:sz w:val="24"/>
          <w:szCs w:val="24"/>
          <w:lang w:eastAsia="zh-Hans"/>
        </w:rPr>
        <w:t>，</w:t>
      </w:r>
      <w:r>
        <w:rPr>
          <w:rFonts w:hint="eastAsia" w:cs="Times New Roman"/>
          <w:sz w:val="24"/>
          <w:szCs w:val="24"/>
          <w:lang w:val="en-US" w:eastAsia="zh-Hans"/>
        </w:rPr>
        <w:t>公众通常会把传统能源、资源行业与社会责任表现不佳划等号。本文件充分考虑了建材行业特点</w:t>
      </w:r>
      <w:r>
        <w:rPr>
          <w:rFonts w:hint="default" w:cs="Times New Roman"/>
          <w:sz w:val="24"/>
          <w:szCs w:val="24"/>
          <w:lang w:eastAsia="zh-Hans"/>
        </w:rPr>
        <w:t>，</w:t>
      </w:r>
      <w:r>
        <w:rPr>
          <w:rFonts w:hint="eastAsia" w:cs="Times New Roman"/>
          <w:sz w:val="24"/>
          <w:szCs w:val="24"/>
          <w:lang w:val="en-US" w:eastAsia="zh-Hans"/>
        </w:rPr>
        <w:t>结合了国际国内主流标准</w:t>
      </w:r>
      <w:r>
        <w:rPr>
          <w:rFonts w:hint="default" w:cs="Times New Roman"/>
          <w:sz w:val="24"/>
          <w:szCs w:val="24"/>
          <w:lang w:eastAsia="zh-Hans"/>
        </w:rPr>
        <w:t>，</w:t>
      </w:r>
      <w:r>
        <w:rPr>
          <w:rFonts w:hint="eastAsia" w:cs="Times New Roman"/>
          <w:sz w:val="24"/>
          <w:szCs w:val="24"/>
          <w:lang w:val="en-US" w:eastAsia="zh-Hans"/>
        </w:rPr>
        <w:t>提出</w:t>
      </w:r>
      <w:r>
        <w:rPr>
          <w:rFonts w:hint="eastAsia" w:cs="Times New Roman"/>
          <w:sz w:val="24"/>
          <w:szCs w:val="24"/>
          <w:lang w:val="en-US" w:eastAsia="zh-CN"/>
        </w:rPr>
        <w:t>本文件</w:t>
      </w:r>
      <w:r>
        <w:rPr>
          <w:rFonts w:hint="default" w:cs="Times New Roman"/>
          <w:sz w:val="24"/>
          <w:szCs w:val="24"/>
          <w:lang w:eastAsia="zh-Hans"/>
        </w:rPr>
        <w:t>，</w:t>
      </w:r>
      <w:r>
        <w:rPr>
          <w:rFonts w:hint="eastAsia" w:cs="Times New Roman"/>
          <w:sz w:val="24"/>
          <w:szCs w:val="24"/>
          <w:lang w:val="en-US" w:eastAsia="zh-Hans"/>
        </w:rPr>
        <w:t>并就行业性</w:t>
      </w:r>
      <w:r>
        <w:rPr>
          <w:rFonts w:hint="default" w:cs="Times New Roman"/>
          <w:sz w:val="24"/>
          <w:szCs w:val="24"/>
          <w:lang w:eastAsia="zh-Hans"/>
        </w:rPr>
        <w:t>、</w:t>
      </w:r>
      <w:r>
        <w:rPr>
          <w:rFonts w:hint="eastAsia" w:cs="Times New Roman"/>
          <w:sz w:val="24"/>
          <w:szCs w:val="24"/>
          <w:lang w:val="en-US" w:eastAsia="zh-Hans"/>
        </w:rPr>
        <w:t>实质性</w:t>
      </w:r>
      <w:r>
        <w:rPr>
          <w:rFonts w:hint="default" w:cs="Times New Roman"/>
          <w:sz w:val="24"/>
          <w:szCs w:val="24"/>
          <w:lang w:eastAsia="zh-Hans"/>
        </w:rPr>
        <w:t>、</w:t>
      </w:r>
      <w:r>
        <w:rPr>
          <w:rFonts w:hint="eastAsia" w:cs="Times New Roman"/>
          <w:sz w:val="24"/>
          <w:szCs w:val="24"/>
          <w:lang w:val="en-US" w:eastAsia="zh-Hans"/>
        </w:rPr>
        <w:t>目标使用者与国际国内主流信息披露标准进行对比</w:t>
      </w:r>
      <w:r>
        <w:rPr>
          <w:rFonts w:hint="default" w:cs="Times New Roman"/>
          <w:sz w:val="24"/>
          <w:szCs w:val="24"/>
          <w:lang w:eastAsia="zh-Hans"/>
        </w:rPr>
        <w:t>。</w:t>
      </w:r>
      <w:r>
        <w:rPr>
          <w:rFonts w:hint="eastAsia" w:cs="Times New Roman"/>
          <w:sz w:val="24"/>
          <w:szCs w:val="24"/>
          <w:lang w:val="en-US" w:eastAsia="zh-Hans"/>
        </w:rPr>
        <w:t>如表</w:t>
      </w:r>
      <w:r>
        <w:rPr>
          <w:rFonts w:hint="eastAsia" w:cs="Times New Roman"/>
          <w:sz w:val="24"/>
          <w:szCs w:val="24"/>
          <w:lang w:val="en-US" w:eastAsia="zh-CN"/>
        </w:rPr>
        <w:t>16</w:t>
      </w:r>
      <w:r>
        <w:rPr>
          <w:rFonts w:hint="eastAsia" w:cs="Times New Roman"/>
          <w:sz w:val="24"/>
          <w:szCs w:val="24"/>
          <w:lang w:val="en-US" w:eastAsia="zh-Hans"/>
        </w:rPr>
        <w:t>所示</w:t>
      </w:r>
      <w:r>
        <w:rPr>
          <w:rFonts w:hint="default" w:cs="Times New Roman"/>
          <w:sz w:val="24"/>
          <w:szCs w:val="24"/>
          <w:lang w:eastAsia="zh-Hans"/>
        </w:rPr>
        <w:t>。</w:t>
      </w:r>
    </w:p>
    <w:p>
      <w:pPr>
        <w:widowControl w:val="0"/>
        <w:numPr>
          <w:ilvl w:val="0"/>
          <w:numId w:val="0"/>
        </w:numPr>
        <w:spacing w:line="360" w:lineRule="auto"/>
        <w:jc w:val="center"/>
        <w:rPr>
          <w:rFonts w:hint="eastAsia" w:ascii="黑体" w:hAnsi="黑体" w:eastAsia="黑体" w:cs="黑体"/>
          <w:sz w:val="21"/>
          <w:szCs w:val="21"/>
          <w:lang w:val="en-US" w:eastAsia="zh-Hans"/>
        </w:rPr>
      </w:pPr>
      <w:r>
        <w:rPr>
          <w:rFonts w:hint="eastAsia" w:ascii="黑体" w:hAnsi="黑体" w:eastAsia="黑体" w:cs="黑体"/>
          <w:sz w:val="21"/>
          <w:szCs w:val="21"/>
          <w:lang w:val="en-US" w:eastAsia="zh-Hans"/>
        </w:rPr>
        <w:t>表</w:t>
      </w:r>
      <w:r>
        <w:rPr>
          <w:rFonts w:hint="eastAsia" w:ascii="黑体" w:hAnsi="黑体" w:eastAsia="黑体" w:cs="黑体"/>
          <w:sz w:val="21"/>
          <w:szCs w:val="21"/>
          <w:lang w:val="en-US" w:eastAsia="zh-CN"/>
        </w:rPr>
        <w:t>16</w:t>
      </w:r>
      <w:r>
        <w:rPr>
          <w:rFonts w:hint="default" w:ascii="黑体" w:hAnsi="黑体" w:eastAsia="黑体" w:cs="黑体"/>
          <w:sz w:val="21"/>
          <w:szCs w:val="21"/>
          <w:lang w:val="en-US" w:eastAsia="zh-Hans"/>
        </w:rPr>
        <w:t xml:space="preserve"> </w:t>
      </w:r>
      <w:r>
        <w:rPr>
          <w:rFonts w:hint="eastAsia" w:ascii="黑体" w:hAnsi="黑体" w:eastAsia="黑体" w:cs="黑体"/>
          <w:sz w:val="21"/>
          <w:szCs w:val="21"/>
          <w:lang w:val="en-US" w:eastAsia="zh-CN"/>
        </w:rPr>
        <w:t>本文件</w:t>
      </w:r>
      <w:r>
        <w:rPr>
          <w:rFonts w:hint="eastAsia" w:ascii="黑体" w:hAnsi="黑体" w:eastAsia="黑体" w:cs="黑体"/>
          <w:sz w:val="21"/>
          <w:szCs w:val="21"/>
          <w:lang w:val="en-US" w:eastAsia="zh-Hans"/>
        </w:rPr>
        <w:t>与国际国内主流</w:t>
      </w:r>
      <w:r>
        <w:rPr>
          <w:rFonts w:hint="default" w:ascii="黑体" w:hAnsi="黑体" w:eastAsia="黑体" w:cs="黑体"/>
          <w:sz w:val="21"/>
          <w:szCs w:val="21"/>
          <w:lang w:val="en-US" w:eastAsia="zh-Hans"/>
        </w:rPr>
        <w:t>ESG</w:t>
      </w:r>
      <w:r>
        <w:rPr>
          <w:rFonts w:hint="eastAsia" w:ascii="黑体" w:hAnsi="黑体" w:eastAsia="黑体" w:cs="黑体"/>
          <w:sz w:val="21"/>
          <w:szCs w:val="21"/>
          <w:lang w:val="en-US" w:eastAsia="zh-Hans"/>
        </w:rPr>
        <w:t>信息披露标准对比</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6"/>
        <w:gridCol w:w="1969"/>
        <w:gridCol w:w="3186"/>
        <w:gridCol w:w="1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6" w:type="dxa"/>
            <w:vAlign w:val="center"/>
          </w:tcPr>
          <w:p>
            <w:pPr>
              <w:spacing w:line="240" w:lineRule="auto"/>
              <w:jc w:val="center"/>
              <w:rPr>
                <w:rFonts w:hint="default" w:ascii="Times New Roman" w:hAnsi="Times New Roman" w:eastAsia="宋体"/>
                <w:b/>
                <w:bCs/>
                <w:sz w:val="18"/>
                <w:szCs w:val="18"/>
                <w:lang w:val="en-US" w:eastAsia="zh-Hans"/>
              </w:rPr>
            </w:pPr>
            <w:r>
              <w:rPr>
                <w:rFonts w:hint="eastAsia" w:ascii="Times New Roman" w:hAnsi="Times New Roman" w:eastAsia="宋体"/>
                <w:b/>
                <w:bCs/>
                <w:sz w:val="18"/>
                <w:szCs w:val="18"/>
                <w:lang w:val="en-US" w:eastAsia="zh-Hans"/>
              </w:rPr>
              <w:t>标准</w:t>
            </w:r>
          </w:p>
        </w:tc>
        <w:tc>
          <w:tcPr>
            <w:tcW w:w="1969" w:type="dxa"/>
            <w:vAlign w:val="center"/>
          </w:tcPr>
          <w:p>
            <w:pPr>
              <w:spacing w:line="240" w:lineRule="auto"/>
              <w:jc w:val="center"/>
              <w:rPr>
                <w:rFonts w:hint="default" w:ascii="Times New Roman" w:hAnsi="Times New Roman" w:eastAsia="宋体"/>
                <w:b/>
                <w:bCs/>
                <w:sz w:val="18"/>
                <w:szCs w:val="18"/>
                <w:lang w:val="en-US" w:eastAsia="zh-Hans"/>
              </w:rPr>
            </w:pPr>
            <w:r>
              <w:rPr>
                <w:rFonts w:hint="eastAsia" w:ascii="Times New Roman" w:hAnsi="Times New Roman" w:eastAsia="宋体"/>
                <w:b/>
                <w:bCs/>
                <w:sz w:val="18"/>
                <w:szCs w:val="18"/>
                <w:lang w:val="en-US" w:eastAsia="zh-Hans"/>
              </w:rPr>
              <w:t>行业性</w:t>
            </w:r>
          </w:p>
        </w:tc>
        <w:tc>
          <w:tcPr>
            <w:tcW w:w="3186" w:type="dxa"/>
            <w:vAlign w:val="center"/>
          </w:tcPr>
          <w:p>
            <w:pPr>
              <w:spacing w:line="240" w:lineRule="auto"/>
              <w:jc w:val="center"/>
              <w:rPr>
                <w:rFonts w:hint="default" w:ascii="Times New Roman" w:hAnsi="Times New Roman" w:eastAsia="宋体"/>
                <w:b/>
                <w:bCs/>
                <w:sz w:val="18"/>
                <w:szCs w:val="18"/>
                <w:lang w:val="en-US" w:eastAsia="zh-Hans"/>
              </w:rPr>
            </w:pPr>
            <w:r>
              <w:rPr>
                <w:rFonts w:hint="eastAsia" w:ascii="Times New Roman" w:hAnsi="Times New Roman" w:eastAsia="宋体"/>
                <w:b/>
                <w:bCs/>
                <w:sz w:val="18"/>
                <w:szCs w:val="18"/>
                <w:lang w:val="en-US" w:eastAsia="zh-Hans"/>
              </w:rPr>
              <w:t>实质性定义</w:t>
            </w:r>
          </w:p>
        </w:tc>
        <w:tc>
          <w:tcPr>
            <w:tcW w:w="1333" w:type="dxa"/>
            <w:vAlign w:val="center"/>
          </w:tcPr>
          <w:p>
            <w:pPr>
              <w:spacing w:line="240" w:lineRule="auto"/>
              <w:jc w:val="center"/>
              <w:rPr>
                <w:rFonts w:hint="default" w:ascii="Times New Roman" w:hAnsi="Times New Roman" w:eastAsia="宋体"/>
                <w:b/>
                <w:bCs/>
                <w:sz w:val="18"/>
                <w:szCs w:val="18"/>
                <w:lang w:val="en-US" w:eastAsia="zh-Hans"/>
              </w:rPr>
            </w:pPr>
            <w:r>
              <w:rPr>
                <w:rFonts w:hint="eastAsia" w:ascii="Times New Roman" w:hAnsi="Times New Roman" w:eastAsia="宋体"/>
                <w:b/>
                <w:bCs/>
                <w:sz w:val="18"/>
                <w:szCs w:val="18"/>
                <w:lang w:val="en-US" w:eastAsia="zh-Hans"/>
              </w:rPr>
              <w:t>目标使用者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6"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GRI</w:t>
            </w:r>
            <w:r>
              <w:rPr>
                <w:rFonts w:hint="eastAsia" w:ascii="Times New Roman" w:hAnsi="Times New Roman" w:eastAsia="宋体"/>
                <w:b w:val="0"/>
                <w:bCs w:val="0"/>
                <w:sz w:val="18"/>
                <w:szCs w:val="18"/>
                <w:lang w:val="en-US" w:eastAsia="zh-Hans"/>
              </w:rPr>
              <w:t>标准</w:t>
            </w:r>
          </w:p>
        </w:tc>
        <w:tc>
          <w:tcPr>
            <w:tcW w:w="1969" w:type="dxa"/>
            <w:vAlign w:val="center"/>
          </w:tcPr>
          <w:p>
            <w:pPr>
              <w:spacing w:line="240" w:lineRule="auto"/>
              <w:jc w:val="center"/>
              <w:rPr>
                <w:rFonts w:hint="eastAsia"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不分行业</w:t>
            </w:r>
          </w:p>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新增行业标准</w:t>
            </w:r>
          </w:p>
        </w:tc>
        <w:tc>
          <w:tcPr>
            <w:tcW w:w="3186"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对经济</w:t>
            </w:r>
            <w:r>
              <w:rPr>
                <w:rFonts w:hint="default" w:ascii="Times New Roman" w:hAnsi="Times New Roman" w:eastAsia="宋体"/>
                <w:b w:val="0"/>
                <w:bCs w:val="0"/>
                <w:sz w:val="18"/>
                <w:szCs w:val="18"/>
                <w:lang w:val="en-US" w:eastAsia="zh-Hans"/>
              </w:rPr>
              <w:t>、</w:t>
            </w:r>
            <w:r>
              <w:rPr>
                <w:rFonts w:hint="eastAsia" w:ascii="Times New Roman" w:hAnsi="Times New Roman" w:eastAsia="宋体"/>
                <w:b w:val="0"/>
                <w:bCs w:val="0"/>
                <w:sz w:val="18"/>
                <w:szCs w:val="18"/>
                <w:lang w:val="en-US" w:eastAsia="zh-Hans"/>
              </w:rPr>
              <w:t>环境</w:t>
            </w:r>
            <w:r>
              <w:rPr>
                <w:rFonts w:hint="default" w:ascii="Times New Roman" w:hAnsi="Times New Roman" w:eastAsia="宋体"/>
                <w:b w:val="0"/>
                <w:bCs w:val="0"/>
                <w:sz w:val="18"/>
                <w:szCs w:val="18"/>
                <w:lang w:val="en-US" w:eastAsia="zh-Hans"/>
              </w:rPr>
              <w:t>、</w:t>
            </w:r>
            <w:r>
              <w:rPr>
                <w:rFonts w:hint="eastAsia" w:ascii="Times New Roman" w:hAnsi="Times New Roman" w:eastAsia="宋体"/>
                <w:b w:val="0"/>
                <w:bCs w:val="0"/>
                <w:sz w:val="18"/>
                <w:szCs w:val="18"/>
                <w:lang w:val="en-US" w:eastAsia="zh-Hans"/>
              </w:rPr>
              <w:t>社会的重大影响</w:t>
            </w:r>
          </w:p>
        </w:tc>
        <w:tc>
          <w:tcPr>
            <w:tcW w:w="1333"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所有利益相关方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6"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SASB</w:t>
            </w:r>
            <w:r>
              <w:rPr>
                <w:rFonts w:hint="eastAsia" w:ascii="Times New Roman" w:hAnsi="Times New Roman" w:eastAsia="宋体"/>
                <w:b w:val="0"/>
                <w:bCs w:val="0"/>
                <w:sz w:val="18"/>
                <w:szCs w:val="18"/>
                <w:lang w:val="en-US" w:eastAsia="zh-Hans"/>
              </w:rPr>
              <w:t>标准</w:t>
            </w:r>
          </w:p>
        </w:tc>
        <w:tc>
          <w:tcPr>
            <w:tcW w:w="1969"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分行业</w:t>
            </w:r>
          </w:p>
        </w:tc>
        <w:tc>
          <w:tcPr>
            <w:tcW w:w="3186"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对企业价值创造的重大影响</w:t>
            </w:r>
          </w:p>
        </w:tc>
        <w:tc>
          <w:tcPr>
            <w:tcW w:w="1333"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6"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ISO标准</w:t>
            </w:r>
          </w:p>
        </w:tc>
        <w:tc>
          <w:tcPr>
            <w:tcW w:w="1969"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不分行业</w:t>
            </w:r>
          </w:p>
        </w:tc>
        <w:tc>
          <w:tcPr>
            <w:tcW w:w="3186"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对社会</w:t>
            </w:r>
            <w:r>
              <w:rPr>
                <w:rFonts w:hint="default" w:ascii="Times New Roman" w:hAnsi="Times New Roman" w:eastAsia="宋体"/>
                <w:b w:val="0"/>
                <w:bCs w:val="0"/>
                <w:sz w:val="18"/>
                <w:szCs w:val="18"/>
                <w:lang w:val="en-US" w:eastAsia="zh-Hans"/>
              </w:rPr>
              <w:t>、</w:t>
            </w:r>
            <w:r>
              <w:rPr>
                <w:rFonts w:hint="eastAsia" w:ascii="Times New Roman" w:hAnsi="Times New Roman" w:eastAsia="宋体"/>
                <w:b w:val="0"/>
                <w:bCs w:val="0"/>
                <w:sz w:val="18"/>
                <w:szCs w:val="18"/>
                <w:lang w:val="en-US" w:eastAsia="zh-Hans"/>
              </w:rPr>
              <w:t>环境的重大影响</w:t>
            </w:r>
          </w:p>
        </w:tc>
        <w:tc>
          <w:tcPr>
            <w:tcW w:w="1333"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所有利益相关方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6"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CDP</w:t>
            </w:r>
            <w:r>
              <w:rPr>
                <w:rFonts w:hint="eastAsia" w:ascii="Times New Roman" w:hAnsi="Times New Roman" w:eastAsia="宋体"/>
                <w:b w:val="0"/>
                <w:bCs w:val="0"/>
                <w:sz w:val="18"/>
                <w:szCs w:val="18"/>
                <w:lang w:val="en-US" w:eastAsia="zh-Hans"/>
              </w:rPr>
              <w:t>标准</w:t>
            </w:r>
          </w:p>
        </w:tc>
        <w:tc>
          <w:tcPr>
            <w:tcW w:w="1969" w:type="dxa"/>
            <w:vAlign w:val="center"/>
          </w:tcPr>
          <w:p>
            <w:pPr>
              <w:spacing w:line="240" w:lineRule="auto"/>
              <w:jc w:val="center"/>
              <w:rPr>
                <w:rFonts w:hint="eastAsia"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不分行业</w:t>
            </w:r>
          </w:p>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有行业补充信息</w:t>
            </w:r>
          </w:p>
        </w:tc>
        <w:tc>
          <w:tcPr>
            <w:tcW w:w="3186"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对经济</w:t>
            </w:r>
            <w:r>
              <w:rPr>
                <w:rFonts w:hint="default" w:ascii="Times New Roman" w:hAnsi="Times New Roman" w:eastAsia="宋体"/>
                <w:b w:val="0"/>
                <w:bCs w:val="0"/>
                <w:sz w:val="18"/>
                <w:szCs w:val="18"/>
                <w:lang w:val="en-US" w:eastAsia="zh-Hans"/>
              </w:rPr>
              <w:t>、</w:t>
            </w:r>
            <w:r>
              <w:rPr>
                <w:rFonts w:hint="eastAsia" w:ascii="Times New Roman" w:hAnsi="Times New Roman" w:eastAsia="宋体"/>
                <w:b w:val="0"/>
                <w:bCs w:val="0"/>
                <w:sz w:val="18"/>
                <w:szCs w:val="18"/>
                <w:lang w:val="en-US" w:eastAsia="zh-Hans"/>
              </w:rPr>
              <w:t>环境</w:t>
            </w:r>
            <w:r>
              <w:rPr>
                <w:rFonts w:hint="default" w:ascii="Times New Roman" w:hAnsi="Times New Roman" w:eastAsia="宋体"/>
                <w:b w:val="0"/>
                <w:bCs w:val="0"/>
                <w:sz w:val="18"/>
                <w:szCs w:val="18"/>
                <w:lang w:val="en-US" w:eastAsia="zh-Hans"/>
              </w:rPr>
              <w:t>、</w:t>
            </w:r>
            <w:r>
              <w:rPr>
                <w:rFonts w:hint="eastAsia" w:ascii="Times New Roman" w:hAnsi="Times New Roman" w:eastAsia="宋体"/>
                <w:b w:val="0"/>
                <w:bCs w:val="0"/>
                <w:sz w:val="18"/>
                <w:szCs w:val="18"/>
                <w:lang w:val="en-US" w:eastAsia="zh-Hans"/>
              </w:rPr>
              <w:t>社会的重大影响</w:t>
            </w:r>
          </w:p>
        </w:tc>
        <w:tc>
          <w:tcPr>
            <w:tcW w:w="1333"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所有利益相关方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6"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TCFD</w:t>
            </w:r>
            <w:r>
              <w:rPr>
                <w:rFonts w:hint="eastAsia" w:ascii="Times New Roman" w:hAnsi="Times New Roman" w:eastAsia="宋体"/>
                <w:b w:val="0"/>
                <w:bCs w:val="0"/>
                <w:sz w:val="18"/>
                <w:szCs w:val="18"/>
                <w:lang w:val="en-US" w:eastAsia="zh-Hans"/>
              </w:rPr>
              <w:t>框架</w:t>
            </w:r>
          </w:p>
        </w:tc>
        <w:tc>
          <w:tcPr>
            <w:tcW w:w="1969" w:type="dxa"/>
            <w:vAlign w:val="center"/>
          </w:tcPr>
          <w:p>
            <w:pPr>
              <w:spacing w:line="240" w:lineRule="auto"/>
              <w:jc w:val="center"/>
              <w:rPr>
                <w:rFonts w:hint="eastAsia"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不分行业</w:t>
            </w:r>
          </w:p>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有行业补充信息</w:t>
            </w:r>
          </w:p>
        </w:tc>
        <w:tc>
          <w:tcPr>
            <w:tcW w:w="3186"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对企业价值创造的重大影响</w:t>
            </w:r>
          </w:p>
        </w:tc>
        <w:tc>
          <w:tcPr>
            <w:tcW w:w="1333"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6"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default" w:ascii="Times New Roman" w:hAnsi="Times New Roman" w:eastAsia="宋体"/>
                <w:b w:val="0"/>
                <w:bCs w:val="0"/>
                <w:sz w:val="18"/>
                <w:szCs w:val="18"/>
                <w:lang w:val="en-US" w:eastAsia="zh-Hans"/>
              </w:rPr>
              <w:t>CDSB</w:t>
            </w:r>
            <w:r>
              <w:rPr>
                <w:rFonts w:hint="eastAsia" w:ascii="Times New Roman" w:hAnsi="Times New Roman" w:eastAsia="宋体"/>
                <w:b w:val="0"/>
                <w:bCs w:val="0"/>
                <w:sz w:val="18"/>
                <w:szCs w:val="18"/>
                <w:lang w:val="en-US" w:eastAsia="zh-Hans"/>
              </w:rPr>
              <w:t>框架</w:t>
            </w:r>
          </w:p>
        </w:tc>
        <w:tc>
          <w:tcPr>
            <w:tcW w:w="1969"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不分行业</w:t>
            </w:r>
          </w:p>
        </w:tc>
        <w:tc>
          <w:tcPr>
            <w:tcW w:w="3186"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对企业价值创造的重大影响</w:t>
            </w:r>
          </w:p>
        </w:tc>
        <w:tc>
          <w:tcPr>
            <w:tcW w:w="1333"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6"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联交所</w:t>
            </w:r>
            <w:r>
              <w:rPr>
                <w:rFonts w:hint="default" w:ascii="Times New Roman" w:hAnsi="Times New Roman" w:eastAsia="宋体"/>
                <w:b w:val="0"/>
                <w:bCs w:val="0"/>
                <w:sz w:val="18"/>
                <w:szCs w:val="18"/>
                <w:lang w:val="en-US" w:eastAsia="zh-Hans"/>
              </w:rPr>
              <w:t>《</w:t>
            </w:r>
            <w:r>
              <w:rPr>
                <w:rFonts w:hint="eastAsia" w:ascii="Times New Roman" w:hAnsi="Times New Roman" w:eastAsia="宋体"/>
                <w:b w:val="0"/>
                <w:bCs w:val="0"/>
                <w:sz w:val="18"/>
                <w:szCs w:val="18"/>
                <w:lang w:val="en-US" w:eastAsia="zh-Hans"/>
              </w:rPr>
              <w:t>指引</w:t>
            </w:r>
            <w:r>
              <w:rPr>
                <w:rFonts w:hint="default" w:ascii="Times New Roman" w:hAnsi="Times New Roman" w:eastAsia="宋体"/>
                <w:b w:val="0"/>
                <w:bCs w:val="0"/>
                <w:sz w:val="18"/>
                <w:szCs w:val="18"/>
                <w:lang w:val="en-US" w:eastAsia="zh-Hans"/>
              </w:rPr>
              <w:t>》</w:t>
            </w:r>
          </w:p>
        </w:tc>
        <w:tc>
          <w:tcPr>
            <w:tcW w:w="1969"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不分行业</w:t>
            </w:r>
          </w:p>
        </w:tc>
        <w:tc>
          <w:tcPr>
            <w:tcW w:w="3186"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对环境</w:t>
            </w:r>
            <w:r>
              <w:rPr>
                <w:rFonts w:hint="default" w:ascii="Times New Roman" w:hAnsi="Times New Roman" w:eastAsia="宋体"/>
                <w:b w:val="0"/>
                <w:bCs w:val="0"/>
                <w:sz w:val="18"/>
                <w:szCs w:val="18"/>
                <w:lang w:val="en-US" w:eastAsia="zh-Hans"/>
              </w:rPr>
              <w:t>、</w:t>
            </w:r>
            <w:r>
              <w:rPr>
                <w:rFonts w:hint="eastAsia" w:ascii="Times New Roman" w:hAnsi="Times New Roman" w:eastAsia="宋体"/>
                <w:b w:val="0"/>
                <w:bCs w:val="0"/>
                <w:sz w:val="18"/>
                <w:szCs w:val="18"/>
                <w:lang w:val="en-US" w:eastAsia="zh-Hans"/>
              </w:rPr>
              <w:t>社会</w:t>
            </w:r>
            <w:r>
              <w:rPr>
                <w:rFonts w:hint="default" w:ascii="Times New Roman" w:hAnsi="Times New Roman" w:eastAsia="宋体"/>
                <w:b w:val="0"/>
                <w:bCs w:val="0"/>
                <w:sz w:val="18"/>
                <w:szCs w:val="18"/>
                <w:lang w:val="en-US" w:eastAsia="zh-Hans"/>
              </w:rPr>
              <w:t>、</w:t>
            </w:r>
            <w:r>
              <w:rPr>
                <w:rFonts w:hint="eastAsia" w:ascii="Times New Roman" w:hAnsi="Times New Roman" w:eastAsia="宋体"/>
                <w:b w:val="0"/>
                <w:bCs w:val="0"/>
                <w:sz w:val="18"/>
                <w:szCs w:val="18"/>
                <w:lang w:val="en-US" w:eastAsia="zh-Hans"/>
              </w:rPr>
              <w:t>治理的重大影响</w:t>
            </w:r>
          </w:p>
        </w:tc>
        <w:tc>
          <w:tcPr>
            <w:tcW w:w="1333"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所有利益相关方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6"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深交所国证</w:t>
            </w:r>
            <w:r>
              <w:rPr>
                <w:rFonts w:hint="default" w:ascii="Times New Roman" w:hAnsi="Times New Roman" w:eastAsia="宋体"/>
                <w:b w:val="0"/>
                <w:bCs w:val="0"/>
                <w:sz w:val="18"/>
                <w:szCs w:val="18"/>
                <w:lang w:val="en-US" w:eastAsia="zh-Hans"/>
              </w:rPr>
              <w:t>ESG</w:t>
            </w:r>
            <w:r>
              <w:rPr>
                <w:rFonts w:hint="eastAsia" w:ascii="Times New Roman" w:hAnsi="Times New Roman" w:eastAsia="宋体"/>
                <w:b w:val="0"/>
                <w:bCs w:val="0"/>
                <w:sz w:val="18"/>
                <w:szCs w:val="18"/>
                <w:lang w:val="en-US" w:eastAsia="zh-Hans"/>
              </w:rPr>
              <w:t>评价体系</w:t>
            </w:r>
          </w:p>
        </w:tc>
        <w:tc>
          <w:tcPr>
            <w:tcW w:w="1969"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不分行业</w:t>
            </w:r>
          </w:p>
        </w:tc>
        <w:tc>
          <w:tcPr>
            <w:tcW w:w="3186"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对环境</w:t>
            </w:r>
            <w:r>
              <w:rPr>
                <w:rFonts w:hint="default" w:ascii="Times New Roman" w:hAnsi="Times New Roman" w:eastAsia="宋体"/>
                <w:b w:val="0"/>
                <w:bCs w:val="0"/>
                <w:sz w:val="18"/>
                <w:szCs w:val="18"/>
                <w:lang w:val="en-US" w:eastAsia="zh-Hans"/>
              </w:rPr>
              <w:t>、</w:t>
            </w:r>
            <w:r>
              <w:rPr>
                <w:rFonts w:hint="eastAsia" w:ascii="Times New Roman" w:hAnsi="Times New Roman" w:eastAsia="宋体"/>
                <w:b w:val="0"/>
                <w:bCs w:val="0"/>
                <w:sz w:val="18"/>
                <w:szCs w:val="18"/>
                <w:lang w:val="en-US" w:eastAsia="zh-Hans"/>
              </w:rPr>
              <w:t>社会</w:t>
            </w:r>
            <w:r>
              <w:rPr>
                <w:rFonts w:hint="default" w:ascii="Times New Roman" w:hAnsi="Times New Roman" w:eastAsia="宋体"/>
                <w:b w:val="0"/>
                <w:bCs w:val="0"/>
                <w:sz w:val="18"/>
                <w:szCs w:val="18"/>
                <w:lang w:val="en-US" w:eastAsia="zh-Hans"/>
              </w:rPr>
              <w:t>、</w:t>
            </w:r>
            <w:r>
              <w:rPr>
                <w:rFonts w:hint="eastAsia" w:ascii="Times New Roman" w:hAnsi="Times New Roman" w:eastAsia="宋体"/>
                <w:b w:val="0"/>
                <w:bCs w:val="0"/>
                <w:sz w:val="18"/>
                <w:szCs w:val="18"/>
                <w:lang w:val="en-US" w:eastAsia="zh-Hans"/>
              </w:rPr>
              <w:t>治理的重大影响</w:t>
            </w:r>
          </w:p>
        </w:tc>
        <w:tc>
          <w:tcPr>
            <w:tcW w:w="1333"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所有利益相关方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6"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首经贸企业信息披露标准</w:t>
            </w:r>
          </w:p>
        </w:tc>
        <w:tc>
          <w:tcPr>
            <w:tcW w:w="1969"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不分行业</w:t>
            </w:r>
          </w:p>
        </w:tc>
        <w:tc>
          <w:tcPr>
            <w:tcW w:w="3186"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对环境</w:t>
            </w:r>
            <w:r>
              <w:rPr>
                <w:rFonts w:hint="default" w:ascii="Times New Roman" w:hAnsi="Times New Roman" w:eastAsia="宋体"/>
                <w:b w:val="0"/>
                <w:bCs w:val="0"/>
                <w:sz w:val="18"/>
                <w:szCs w:val="18"/>
                <w:lang w:val="en-US" w:eastAsia="zh-Hans"/>
              </w:rPr>
              <w:t>、</w:t>
            </w:r>
            <w:r>
              <w:rPr>
                <w:rFonts w:hint="eastAsia" w:ascii="Times New Roman" w:hAnsi="Times New Roman" w:eastAsia="宋体"/>
                <w:b w:val="0"/>
                <w:bCs w:val="0"/>
                <w:sz w:val="18"/>
                <w:szCs w:val="18"/>
                <w:lang w:val="en-US" w:eastAsia="zh-Hans"/>
              </w:rPr>
              <w:t>社会</w:t>
            </w:r>
            <w:r>
              <w:rPr>
                <w:rFonts w:hint="default" w:ascii="Times New Roman" w:hAnsi="Times New Roman" w:eastAsia="宋体"/>
                <w:b w:val="0"/>
                <w:bCs w:val="0"/>
                <w:sz w:val="18"/>
                <w:szCs w:val="18"/>
                <w:lang w:val="en-US" w:eastAsia="zh-Hans"/>
              </w:rPr>
              <w:t>、</w:t>
            </w:r>
            <w:r>
              <w:rPr>
                <w:rFonts w:hint="eastAsia" w:ascii="Times New Roman" w:hAnsi="Times New Roman" w:eastAsia="宋体"/>
                <w:b w:val="0"/>
                <w:bCs w:val="0"/>
                <w:sz w:val="18"/>
                <w:szCs w:val="18"/>
                <w:lang w:val="en-US" w:eastAsia="zh-Hans"/>
              </w:rPr>
              <w:t>治理的重大影响</w:t>
            </w:r>
          </w:p>
        </w:tc>
        <w:tc>
          <w:tcPr>
            <w:tcW w:w="1333"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所有利益相关方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6" w:type="dxa"/>
            <w:vAlign w:val="center"/>
          </w:tcPr>
          <w:p>
            <w:pPr>
              <w:spacing w:line="240" w:lineRule="auto"/>
              <w:jc w:val="center"/>
              <w:rPr>
                <w:rFonts w:hint="eastAsia" w:ascii="Times New Roman" w:hAnsi="Times New Roman" w:eastAsia="宋体"/>
                <w:b w:val="0"/>
                <w:bCs w:val="0"/>
                <w:sz w:val="18"/>
                <w:szCs w:val="18"/>
                <w:lang w:val="en-US" w:eastAsia="zh-CN"/>
              </w:rPr>
            </w:pPr>
            <w:r>
              <w:rPr>
                <w:rFonts w:hint="eastAsia" w:ascii="Times New Roman" w:hAnsi="Times New Roman" w:eastAsia="宋体"/>
                <w:b w:val="0"/>
                <w:bCs w:val="0"/>
                <w:sz w:val="18"/>
                <w:szCs w:val="18"/>
                <w:lang w:val="en-US" w:eastAsia="zh-CN"/>
              </w:rPr>
              <w:t>本文件</w:t>
            </w:r>
          </w:p>
        </w:tc>
        <w:tc>
          <w:tcPr>
            <w:tcW w:w="1969"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建材行业</w:t>
            </w:r>
          </w:p>
        </w:tc>
        <w:tc>
          <w:tcPr>
            <w:tcW w:w="3186"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对环境</w:t>
            </w:r>
            <w:r>
              <w:rPr>
                <w:rFonts w:hint="default" w:ascii="Times New Roman" w:hAnsi="Times New Roman" w:eastAsia="宋体"/>
                <w:b w:val="0"/>
                <w:bCs w:val="0"/>
                <w:sz w:val="18"/>
                <w:szCs w:val="18"/>
                <w:lang w:val="en-US" w:eastAsia="zh-Hans"/>
              </w:rPr>
              <w:t>、</w:t>
            </w:r>
            <w:r>
              <w:rPr>
                <w:rFonts w:hint="eastAsia" w:ascii="Times New Roman" w:hAnsi="Times New Roman" w:eastAsia="宋体"/>
                <w:b w:val="0"/>
                <w:bCs w:val="0"/>
                <w:sz w:val="18"/>
                <w:szCs w:val="18"/>
                <w:lang w:val="en-US" w:eastAsia="zh-Hans"/>
              </w:rPr>
              <w:t>社会</w:t>
            </w:r>
            <w:r>
              <w:rPr>
                <w:rFonts w:hint="default" w:ascii="Times New Roman" w:hAnsi="Times New Roman" w:eastAsia="宋体"/>
                <w:b w:val="0"/>
                <w:bCs w:val="0"/>
                <w:sz w:val="18"/>
                <w:szCs w:val="18"/>
                <w:lang w:val="en-US" w:eastAsia="zh-Hans"/>
              </w:rPr>
              <w:t>、</w:t>
            </w:r>
            <w:r>
              <w:rPr>
                <w:rFonts w:hint="eastAsia" w:ascii="Times New Roman" w:hAnsi="Times New Roman" w:eastAsia="宋体"/>
                <w:b w:val="0"/>
                <w:bCs w:val="0"/>
                <w:sz w:val="18"/>
                <w:szCs w:val="18"/>
                <w:lang w:val="en-US" w:eastAsia="zh-Hans"/>
              </w:rPr>
              <w:t>治理的重大影响及对企业价值创造的重大影响</w:t>
            </w:r>
          </w:p>
        </w:tc>
        <w:tc>
          <w:tcPr>
            <w:tcW w:w="1333" w:type="dxa"/>
            <w:vAlign w:val="center"/>
          </w:tcPr>
          <w:p>
            <w:pPr>
              <w:spacing w:line="240" w:lineRule="auto"/>
              <w:jc w:val="center"/>
              <w:rPr>
                <w:rFonts w:hint="default" w:ascii="Times New Roman" w:hAnsi="Times New Roman" w:eastAsia="宋体"/>
                <w:b w:val="0"/>
                <w:bCs w:val="0"/>
                <w:sz w:val="18"/>
                <w:szCs w:val="18"/>
                <w:lang w:val="en-US" w:eastAsia="zh-Hans"/>
              </w:rPr>
            </w:pPr>
            <w:r>
              <w:rPr>
                <w:rFonts w:hint="eastAsia" w:ascii="Times New Roman" w:hAnsi="Times New Roman" w:eastAsia="宋体"/>
                <w:b w:val="0"/>
                <w:bCs w:val="0"/>
                <w:sz w:val="18"/>
                <w:szCs w:val="18"/>
                <w:lang w:val="en-US" w:eastAsia="zh-Hans"/>
              </w:rPr>
              <w:t>所有利益相关方</w:t>
            </w:r>
          </w:p>
        </w:tc>
      </w:tr>
    </w:tbl>
    <w:p>
      <w:pPr>
        <w:pStyle w:val="2"/>
        <w:numPr>
          <w:ilvl w:val="0"/>
          <w:numId w:val="6"/>
        </w:numPr>
        <w:spacing w:line="360" w:lineRule="auto"/>
      </w:pPr>
      <w:r>
        <w:t>与现行相关法律、法规、规章及相关标准，特别是强制性标准的协调性</w:t>
      </w:r>
    </w:p>
    <w:p>
      <w:pPr>
        <w:numPr>
          <w:ilvl w:val="0"/>
          <w:numId w:val="0"/>
        </w:numPr>
        <w:ind w:firstLine="420" w:firstLineChars="0"/>
        <w:rPr>
          <w:rFonts w:hint="eastAsia"/>
        </w:rPr>
      </w:pPr>
      <w:r>
        <w:rPr>
          <w:rFonts w:hint="eastAsia"/>
          <w:lang w:val="en-US" w:eastAsia="zh-Hans"/>
        </w:rPr>
        <w:t>目前</w:t>
      </w:r>
      <w:r>
        <w:rPr>
          <w:rFonts w:hint="default"/>
          <w:lang w:eastAsia="zh-Hans"/>
        </w:rPr>
        <w:t>，</w:t>
      </w:r>
      <w:r>
        <w:rPr>
          <w:rFonts w:hint="eastAsia"/>
          <w:lang w:val="en-US" w:eastAsia="zh-Hans"/>
        </w:rPr>
        <w:t>国内发布的</w:t>
      </w:r>
      <w:r>
        <w:rPr>
          <w:rFonts w:hint="default"/>
          <w:lang w:eastAsia="zh-Hans"/>
        </w:rPr>
        <w:t>ESG</w:t>
      </w:r>
      <w:r>
        <w:rPr>
          <w:rFonts w:hint="eastAsia"/>
          <w:lang w:val="en-US" w:eastAsia="zh-Hans"/>
        </w:rPr>
        <w:t>信息披露的相关法律</w:t>
      </w:r>
      <w:r>
        <w:rPr>
          <w:rFonts w:hint="default"/>
          <w:lang w:eastAsia="zh-Hans"/>
        </w:rPr>
        <w:t>、</w:t>
      </w:r>
      <w:r>
        <w:rPr>
          <w:rFonts w:hint="eastAsia"/>
          <w:lang w:val="en-US" w:eastAsia="zh-Hans"/>
        </w:rPr>
        <w:t>法规</w:t>
      </w:r>
      <w:r>
        <w:rPr>
          <w:rFonts w:hint="default"/>
          <w:lang w:eastAsia="zh-Hans"/>
        </w:rPr>
        <w:t>、</w:t>
      </w:r>
      <w:r>
        <w:rPr>
          <w:rFonts w:hint="eastAsia"/>
          <w:lang w:val="en-US" w:eastAsia="zh-Hans"/>
        </w:rPr>
        <w:t>规章及相关标准正逐步完善</w:t>
      </w:r>
      <w:r>
        <w:rPr>
          <w:rFonts w:hint="default"/>
          <w:lang w:eastAsia="zh-Hans"/>
        </w:rPr>
        <w:t>。</w:t>
      </w:r>
      <w:r>
        <w:rPr>
          <w:rFonts w:hint="eastAsia"/>
        </w:rPr>
        <w:t>2021年12月生态环境部发布《企业环境信息依法披露管理办法》，提出环境信息的强制披露主体为重点排污单位、实施强制性清洁生产审核的企业及存在生态环境违法等行为的上市公司和发债企业等。2022年1月，沪深交易所发布的《股票上市规则》提出，上市公司应当积极践行可持续发展理念，主动承担社会责任，维护社会公共利益，重视生态环境保护；严重损害社会公共利益，其股票应当被终止上市。1月，上交所对科创板企业发布通知，科创板公司应当在年度报告中披露环境、社会责任和公司治理（ESG）相关信息，并视情况单独编制和披露ESG报告、社会责任报告、可持续发展报告、环境责任报告等文件。科创50指数成份公司应当在本次年报披露的同时披露社会责任报告；已披露ESG报告的，可免于单独披露社会责任报告。披露ESG报告或社会责任报告的公司，应当在报告中重点披露助力“碳达峰碳中和”目标、促进可持续发展的行动情况。1月，为规范环境信息依法披露格式，生态环境部发布《企业环境信息依法披露格式准则》。4月，证监会发布的《上市公司投资者关系管理工作指引》中，提出上市公司与投资者的沟通内容需要增加上市公司的环境、社会和治理（即ESG）信息。5月，国务院发布的《提高央企控股上市公司质量工作方案》中提出央企应力争做到2023年前ESG信披全覆盖。其他诸如国家对于绿色金融、碳中和的各项政策及支持，以及对能源体系升级、环境气候的保护的重视等政策亦频频发布。</w:t>
      </w:r>
    </w:p>
    <w:p>
      <w:pPr>
        <w:numPr>
          <w:ilvl w:val="0"/>
          <w:numId w:val="0"/>
        </w:numPr>
        <w:ind w:firstLine="420" w:firstLineChars="0"/>
        <w:rPr>
          <w:rFonts w:hint="eastAsia"/>
        </w:rPr>
      </w:pPr>
      <w:r>
        <w:rPr>
          <w:rFonts w:hint="eastAsia"/>
        </w:rPr>
        <w:t>过去20年间，多部法律法规涉及到ESG（全口径或部分）的概念，特别是生态环境部也多次提出环保方面（E）的强制披露要求。基于ESG全口径的披露标准所涉及的标准制定主体及限制对象均有所不同，E、S、G三者的强制披露要求有所不同，整体来说G的披露强制性相对较强，S的披露强制性相对较弱，而E的强制披露与否主要视主体性质而定。过去国内企业或中概股企业披露全口径的ESG，大多参考国外、香港的相关披露标准及中国社科院企业社会责任研究中心出版的《中国企业社会责任报告指南CASS－CSR4.0》。特别是全球报告倡议组织的《可持续发展报告指南》，即GRI标准，是很多国内大型企业ESG披露的重要参考。</w:t>
      </w:r>
    </w:p>
    <w:p>
      <w:pPr>
        <w:numPr>
          <w:ilvl w:val="0"/>
          <w:numId w:val="0"/>
        </w:numPr>
        <w:ind w:firstLine="420" w:firstLineChars="0"/>
        <w:rPr>
          <w:rFonts w:hint="eastAsia" w:eastAsia="宋体"/>
          <w:lang w:val="en-US" w:eastAsia="zh-Hans"/>
        </w:rPr>
      </w:pPr>
      <w:r>
        <w:rPr>
          <w:rFonts w:hint="eastAsia"/>
          <w:lang w:val="en-US" w:eastAsia="zh-CN"/>
        </w:rPr>
        <w:t>本文件</w:t>
      </w:r>
      <w:r>
        <w:rPr>
          <w:rFonts w:hint="eastAsia"/>
          <w:lang w:val="en-US" w:eastAsia="zh-Hans"/>
        </w:rPr>
        <w:t>充分梳理并参考了现有的政策文件与披露指标体系</w:t>
      </w:r>
      <w:r>
        <w:rPr>
          <w:rFonts w:hint="default"/>
          <w:lang w:eastAsia="zh-Hans"/>
        </w:rPr>
        <w:t>，</w:t>
      </w:r>
      <w:r>
        <w:rPr>
          <w:rFonts w:hint="eastAsia"/>
          <w:lang w:val="en-US" w:eastAsia="zh-Hans"/>
        </w:rPr>
        <w:t>与现有的主流信息披露框架互相协调</w:t>
      </w:r>
      <w:r>
        <w:rPr>
          <w:rFonts w:hint="default"/>
          <w:lang w:eastAsia="zh-Hans"/>
        </w:rPr>
        <w:t>，</w:t>
      </w:r>
      <w:r>
        <w:rPr>
          <w:rFonts w:hint="eastAsia"/>
          <w:lang w:val="en-US" w:eastAsia="zh-Hans"/>
        </w:rPr>
        <w:t>又各有特点</w:t>
      </w:r>
      <w:r>
        <w:rPr>
          <w:rFonts w:hint="default"/>
          <w:lang w:eastAsia="zh-Hans"/>
        </w:rPr>
        <w:t>。</w:t>
      </w:r>
      <w:r>
        <w:rPr>
          <w:rFonts w:hint="eastAsia"/>
          <w:lang w:val="en-US" w:eastAsia="zh-Hans"/>
        </w:rPr>
        <w:t>在双碳背景下</w:t>
      </w:r>
      <w:r>
        <w:rPr>
          <w:rFonts w:hint="default"/>
          <w:lang w:eastAsia="zh-Hans"/>
        </w:rPr>
        <w:t>，</w:t>
      </w:r>
      <w:r>
        <w:rPr>
          <w:rFonts w:hint="eastAsia"/>
          <w:lang w:val="en-US" w:eastAsia="zh-Hans"/>
        </w:rPr>
        <w:t>通过规范建材行业企业披露标准</w:t>
      </w:r>
      <w:r>
        <w:rPr>
          <w:rFonts w:hint="default"/>
          <w:lang w:eastAsia="zh-Hans"/>
        </w:rPr>
        <w:t>，</w:t>
      </w:r>
      <w:r>
        <w:rPr>
          <w:rFonts w:hint="eastAsia"/>
          <w:lang w:val="en-US" w:eastAsia="zh-Hans"/>
        </w:rPr>
        <w:t>完善建材行业企业信息披露水平</w:t>
      </w:r>
      <w:r>
        <w:rPr>
          <w:rFonts w:hint="default"/>
          <w:lang w:eastAsia="zh-Hans"/>
        </w:rPr>
        <w:t>，</w:t>
      </w:r>
      <w:r>
        <w:rPr>
          <w:rFonts w:hint="eastAsia"/>
          <w:lang w:val="en-US" w:eastAsia="zh-Hans"/>
        </w:rPr>
        <w:t>提高建材行业信息披露质量</w:t>
      </w:r>
      <w:r>
        <w:rPr>
          <w:rFonts w:hint="default"/>
          <w:lang w:eastAsia="zh-Hans"/>
        </w:rPr>
        <w:t>，</w:t>
      </w:r>
      <w:r>
        <w:rPr>
          <w:rFonts w:hint="eastAsia"/>
          <w:lang w:val="en-US" w:eastAsia="zh-Hans"/>
        </w:rPr>
        <w:t>促进建材行业企业可持续发展</w:t>
      </w:r>
      <w:r>
        <w:rPr>
          <w:rFonts w:hint="default"/>
          <w:lang w:eastAsia="zh-Hans"/>
        </w:rPr>
        <w:t>。</w:t>
      </w:r>
    </w:p>
    <w:p>
      <w:pPr>
        <w:pStyle w:val="2"/>
        <w:spacing w:line="360" w:lineRule="auto"/>
      </w:pPr>
      <w:bookmarkStart w:id="10" w:name="_Hlk48572379"/>
      <w:r>
        <w:rPr>
          <w:rFonts w:hint="eastAsia"/>
        </w:rPr>
        <w:t>8.</w:t>
      </w:r>
      <w:r>
        <w:t xml:space="preserve"> 重大分歧意见的处理经过和依据</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无重大分歧意见。</w:t>
      </w:r>
    </w:p>
    <w:p>
      <w:pPr>
        <w:pStyle w:val="2"/>
        <w:spacing w:line="360" w:lineRule="auto"/>
      </w:pPr>
      <w:r>
        <w:rPr>
          <w:rFonts w:hint="eastAsia"/>
        </w:rPr>
        <w:t>9.</w:t>
      </w:r>
      <w:r>
        <w:t xml:space="preserve"> 标准性质的建议说明</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建议作为建材行业推荐性标准发布。</w:t>
      </w:r>
    </w:p>
    <w:p>
      <w:pPr>
        <w:pStyle w:val="2"/>
        <w:spacing w:line="360" w:lineRule="auto"/>
      </w:pPr>
      <w:r>
        <w:rPr>
          <w:rFonts w:hint="eastAsia"/>
        </w:rPr>
        <w:t>10.</w:t>
      </w:r>
      <w:r>
        <w:t xml:space="preserve"> 贯彻标准的要求和措施建议（包括组织措施、技术措施、过度办法、实施日期等）</w:t>
      </w:r>
    </w:p>
    <w:p>
      <w:pPr>
        <w:spacing w:line="360" w:lineRule="auto"/>
        <w:ind w:firstLine="480" w:firstLineChars="200"/>
        <w:jc w:val="left"/>
        <w:rPr>
          <w:rFonts w:ascii="Times New Roman" w:hAnsi="Times New Roman" w:eastAsia="宋体" w:cs="Times New Roman"/>
          <w:sz w:val="24"/>
          <w:szCs w:val="24"/>
        </w:rPr>
      </w:pPr>
      <w:r>
        <w:rPr>
          <w:rFonts w:hint="eastAsia" w:cs="Times New Roman"/>
          <w:sz w:val="24"/>
          <w:szCs w:val="24"/>
          <w:lang w:eastAsia="zh-CN"/>
        </w:rPr>
        <w:t>本文件</w:t>
      </w:r>
      <w:r>
        <w:rPr>
          <w:rFonts w:ascii="Times New Roman" w:hAnsi="Times New Roman" w:eastAsia="宋体" w:cs="Times New Roman"/>
          <w:sz w:val="24"/>
          <w:szCs w:val="24"/>
        </w:rPr>
        <w:t>是</w:t>
      </w:r>
      <w:r>
        <w:rPr>
          <w:rFonts w:hint="eastAsia" w:cs="Times New Roman"/>
          <w:sz w:val="24"/>
          <w:szCs w:val="24"/>
          <w:lang w:val="en-US" w:eastAsia="zh-Hans"/>
        </w:rPr>
        <w:t>建材行业企业披露</w:t>
      </w:r>
      <w:r>
        <w:rPr>
          <w:rFonts w:hint="default" w:cs="Times New Roman"/>
          <w:sz w:val="24"/>
          <w:szCs w:val="24"/>
          <w:lang w:eastAsia="zh-Hans"/>
        </w:rPr>
        <w:t>ESG</w:t>
      </w:r>
      <w:r>
        <w:rPr>
          <w:rFonts w:hint="eastAsia" w:cs="Times New Roman"/>
          <w:sz w:val="24"/>
          <w:szCs w:val="24"/>
          <w:lang w:val="en-US" w:eastAsia="zh-Hans"/>
        </w:rPr>
        <w:t>信息</w:t>
      </w:r>
      <w:r>
        <w:rPr>
          <w:rFonts w:ascii="Times New Roman" w:hAnsi="Times New Roman" w:eastAsia="宋体" w:cs="Times New Roman"/>
          <w:sz w:val="24"/>
          <w:szCs w:val="24"/>
        </w:rPr>
        <w:t>的</w:t>
      </w:r>
      <w:r>
        <w:rPr>
          <w:rFonts w:hint="eastAsia" w:cs="Times New Roman"/>
          <w:sz w:val="24"/>
          <w:szCs w:val="24"/>
          <w:lang w:val="en-US" w:eastAsia="zh-Hans"/>
        </w:rPr>
        <w:t>指南</w:t>
      </w:r>
      <w:r>
        <w:rPr>
          <w:rFonts w:ascii="Times New Roman" w:hAnsi="Times New Roman" w:eastAsia="宋体" w:cs="Times New Roman"/>
          <w:sz w:val="24"/>
          <w:szCs w:val="24"/>
        </w:rPr>
        <w:t>性文件，建议在202</w:t>
      </w:r>
      <w:r>
        <w:rPr>
          <w:rFonts w:hint="eastAsia" w:cs="Times New Roman"/>
          <w:sz w:val="24"/>
          <w:szCs w:val="24"/>
          <w:lang w:val="en-US" w:eastAsia="zh-Hans"/>
        </w:rPr>
        <w:t>x</w:t>
      </w:r>
      <w:r>
        <w:rPr>
          <w:rFonts w:ascii="Times New Roman" w:hAnsi="Times New Roman" w:eastAsia="宋体" w:cs="Times New Roman"/>
          <w:sz w:val="24"/>
          <w:szCs w:val="24"/>
        </w:rPr>
        <w:t>年内发布实施。</w:t>
      </w:r>
    </w:p>
    <w:p>
      <w:pPr>
        <w:pStyle w:val="2"/>
        <w:spacing w:line="360" w:lineRule="auto"/>
      </w:pPr>
      <w:r>
        <w:rPr>
          <w:rFonts w:hint="eastAsia"/>
        </w:rPr>
        <w:t xml:space="preserve">11. </w:t>
      </w:r>
      <w:r>
        <w:t>废止现行相关标准的建议</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无。</w:t>
      </w:r>
    </w:p>
    <w:p>
      <w:pPr>
        <w:pStyle w:val="2"/>
        <w:spacing w:line="360" w:lineRule="auto"/>
      </w:pPr>
      <w:r>
        <w:rPr>
          <w:rFonts w:hint="eastAsia"/>
        </w:rPr>
        <w:t>12.</w:t>
      </w:r>
      <w:r>
        <w:t xml:space="preserve"> 其它应予说明的事项</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无。</w:t>
      </w:r>
      <w:bookmarkEnd w:id="10"/>
      <w:bookmarkStart w:id="11" w:name="_GoBack"/>
      <w:bookmarkEnd w:id="11"/>
    </w:p>
    <w:p/>
    <w:p/>
    <w:p/>
    <w:sectPr>
      <w:footerReference r:id="rId6" w:type="default"/>
      <w:pgSz w:w="11906" w:h="16838"/>
      <w:pgMar w:top="1440" w:right="1800" w:bottom="1440" w:left="1800" w:header="851" w:footer="992" w:gutter="0"/>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宋体è.....">
    <w:altName w:val="宋体"/>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
    </w:sdtPr>
    <w:sdtContent>
      <w:p>
        <w:pPr>
          <w:pStyle w:val="16"/>
          <w:jc w:val="center"/>
        </w:pPr>
        <w:r>
          <w:fldChar w:fldCharType="begin"/>
        </w:r>
        <w:r>
          <w:instrText xml:space="preserve">PAGE   \* MERGEFORMAT</w:instrText>
        </w:r>
        <w:r>
          <w:fldChar w:fldCharType="separate"/>
        </w:r>
        <w:r>
          <w:rPr>
            <w:lang w:val="zh-CN"/>
          </w:rPr>
          <w:t>2</w:t>
        </w:r>
        <w:r>
          <w:fldChar w:fldCharType="end"/>
        </w:r>
      </w:p>
    </w:sdtContent>
  </w:sdt>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
    </w:sdtPr>
    <w:sdtContent>
      <w:p>
        <w:pPr>
          <w:pStyle w:val="16"/>
          <w:jc w:val="center"/>
        </w:pPr>
        <w:r>
          <w:fldChar w:fldCharType="begin"/>
        </w:r>
        <w:r>
          <w:instrText xml:space="preserve">PAGE   \* MERGEFORMAT</w:instrText>
        </w:r>
        <w:r>
          <w:fldChar w:fldCharType="separate"/>
        </w:r>
        <w:r>
          <w:rPr>
            <w:lang w:val="zh-CN"/>
          </w:rPr>
          <w:t>2</w:t>
        </w:r>
        <w:r>
          <w:fldChar w:fldCharType="end"/>
        </w:r>
      </w:p>
    </w:sdtContent>
  </w:sdt>
  <w:p>
    <w:pPr>
      <w:pStyle w:val="1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338DA"/>
    <w:multiLevelType w:val="singleLevel"/>
    <w:tmpl w:val="8A3338DA"/>
    <w:lvl w:ilvl="0" w:tentative="0">
      <w:start w:val="1"/>
      <w:numFmt w:val="bullet"/>
      <w:lvlText w:val=""/>
      <w:lvlJc w:val="left"/>
      <w:pPr>
        <w:ind w:left="420" w:hanging="420"/>
      </w:pPr>
      <w:rPr>
        <w:rFonts w:hint="default" w:ascii="Wingdings" w:hAnsi="Wingdings"/>
      </w:rPr>
    </w:lvl>
  </w:abstractNum>
  <w:abstractNum w:abstractNumId="1">
    <w:nsid w:val="57FA83BE"/>
    <w:multiLevelType w:val="singleLevel"/>
    <w:tmpl w:val="57FA83BE"/>
    <w:lvl w:ilvl="0" w:tentative="0">
      <w:start w:val="1"/>
      <w:numFmt w:val="decimal"/>
      <w:lvlText w:val="%1."/>
      <w:lvlJc w:val="left"/>
      <w:pPr>
        <w:ind w:left="425" w:hanging="425"/>
      </w:pPr>
      <w:rPr>
        <w:rFonts w:hint="default"/>
      </w:rPr>
    </w:lvl>
  </w:abstractNum>
  <w:abstractNum w:abstractNumId="2">
    <w:nsid w:val="637EF085"/>
    <w:multiLevelType w:val="singleLevel"/>
    <w:tmpl w:val="637EF085"/>
    <w:lvl w:ilvl="0" w:tentative="0">
      <w:start w:val="3"/>
      <w:numFmt w:val="decimal"/>
      <w:suff w:val="space"/>
      <w:lvlText w:val="%1."/>
      <w:lvlJc w:val="left"/>
    </w:lvl>
  </w:abstractNum>
  <w:abstractNum w:abstractNumId="3">
    <w:nsid w:val="637F273F"/>
    <w:multiLevelType w:val="singleLevel"/>
    <w:tmpl w:val="637F273F"/>
    <w:lvl w:ilvl="0" w:tentative="0">
      <w:start w:val="7"/>
      <w:numFmt w:val="decimal"/>
      <w:suff w:val="space"/>
      <w:lvlText w:val="%1."/>
      <w:lvlJc w:val="left"/>
    </w:lvl>
  </w:abstractNum>
  <w:abstractNum w:abstractNumId="4">
    <w:nsid w:val="657D3FBC"/>
    <w:multiLevelType w:val="multilevel"/>
    <w:tmpl w:val="657D3FBC"/>
    <w:lvl w:ilvl="0" w:tentative="0">
      <w:start w:val="1"/>
      <w:numFmt w:val="upperLetter"/>
      <w:pStyle w:val="60"/>
      <w:suff w:val="nothing"/>
      <w:lvlText w:val="附　录　%1"/>
      <w:lvlJc w:val="left"/>
      <w:pPr>
        <w:ind w:left="5671" w:firstLine="0"/>
      </w:pPr>
      <w:rPr>
        <w:rFonts w:hint="eastAsia" w:ascii="黑体" w:hAnsi="Times New Roman" w:eastAsia="黑体"/>
        <w:b w:val="0"/>
        <w:i w:val="0"/>
        <w:spacing w:val="0"/>
        <w:w w:val="100"/>
        <w:sz w:val="28"/>
        <w:szCs w:val="28"/>
      </w:rPr>
    </w:lvl>
    <w:lvl w:ilvl="1" w:tentative="0">
      <w:start w:val="1"/>
      <w:numFmt w:val="decimal"/>
      <w:suff w:val="nothing"/>
      <w:lvlText w:val="%1.%2　"/>
      <w:lvlJc w:val="left"/>
      <w:pPr>
        <w:ind w:left="-567"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567" w:firstLine="0"/>
      </w:pPr>
      <w:rPr>
        <w:rFonts w:hint="eastAsia" w:ascii="黑体" w:hAnsi="Times New Roman" w:eastAsia="黑体"/>
        <w:b w:val="0"/>
        <w:i w:val="0"/>
        <w:sz w:val="21"/>
      </w:rPr>
    </w:lvl>
    <w:lvl w:ilvl="3" w:tentative="0">
      <w:start w:val="1"/>
      <w:numFmt w:val="decimal"/>
      <w:suff w:val="nothing"/>
      <w:lvlText w:val="%1.%2.%3.%4　"/>
      <w:lvlJc w:val="left"/>
      <w:pPr>
        <w:ind w:left="-567" w:firstLine="0"/>
      </w:pPr>
      <w:rPr>
        <w:rFonts w:hint="eastAsia" w:ascii="黑体" w:hAnsi="Times New Roman" w:eastAsia="黑体"/>
        <w:b w:val="0"/>
        <w:i w:val="0"/>
        <w:sz w:val="21"/>
      </w:rPr>
    </w:lvl>
    <w:lvl w:ilvl="4" w:tentative="0">
      <w:start w:val="1"/>
      <w:numFmt w:val="decimal"/>
      <w:suff w:val="nothing"/>
      <w:lvlText w:val="%1.%2.%3.%4.%5　"/>
      <w:lvlJc w:val="left"/>
      <w:pPr>
        <w:ind w:left="-567" w:firstLine="0"/>
      </w:pPr>
      <w:rPr>
        <w:rFonts w:hint="eastAsia" w:ascii="黑体" w:hAnsi="Times New Roman" w:eastAsia="黑体"/>
        <w:b w:val="0"/>
        <w:i w:val="0"/>
        <w:sz w:val="21"/>
      </w:rPr>
    </w:lvl>
    <w:lvl w:ilvl="5" w:tentative="0">
      <w:start w:val="1"/>
      <w:numFmt w:val="decimal"/>
      <w:suff w:val="nothing"/>
      <w:lvlText w:val="%1.%2.%3.%4.%5.%6　"/>
      <w:lvlJc w:val="left"/>
      <w:pPr>
        <w:ind w:left="-567" w:firstLine="0"/>
      </w:pPr>
      <w:rPr>
        <w:rFonts w:hint="eastAsia" w:ascii="黑体" w:hAnsi="Times New Roman" w:eastAsia="黑体"/>
        <w:b w:val="0"/>
        <w:i w:val="0"/>
        <w:sz w:val="21"/>
      </w:rPr>
    </w:lvl>
    <w:lvl w:ilvl="6" w:tentative="0">
      <w:start w:val="1"/>
      <w:numFmt w:val="decimal"/>
      <w:suff w:val="nothing"/>
      <w:lvlText w:val="%1.%2.%3.%4.%5.%6.%7　"/>
      <w:lvlJc w:val="left"/>
      <w:pPr>
        <w:ind w:left="-567" w:firstLine="0"/>
      </w:pPr>
      <w:rPr>
        <w:rFonts w:hint="eastAsia" w:ascii="黑体" w:hAnsi="Times New Roman" w:eastAsia="黑体"/>
        <w:b w:val="0"/>
        <w:i w:val="0"/>
        <w:sz w:val="21"/>
      </w:rPr>
    </w:lvl>
    <w:lvl w:ilvl="7" w:tentative="0">
      <w:start w:val="1"/>
      <w:numFmt w:val="decimal"/>
      <w:lvlText w:val="%1.%2.%3.%4.%5.%6.%7.%8"/>
      <w:lvlJc w:val="left"/>
      <w:pPr>
        <w:tabs>
          <w:tab w:val="left" w:pos="3827"/>
        </w:tabs>
        <w:ind w:left="3827" w:hanging="1418"/>
      </w:pPr>
      <w:rPr>
        <w:rFonts w:hint="eastAsia"/>
      </w:rPr>
    </w:lvl>
    <w:lvl w:ilvl="8" w:tentative="0">
      <w:start w:val="1"/>
      <w:numFmt w:val="decimal"/>
      <w:lvlText w:val="%1.%2.%3.%4.%5.%6.%7.%8.%9"/>
      <w:lvlJc w:val="left"/>
      <w:pPr>
        <w:tabs>
          <w:tab w:val="left" w:pos="4535"/>
        </w:tabs>
        <w:ind w:left="4535" w:hanging="1700"/>
      </w:pPr>
      <w:rPr>
        <w:rFonts w:hint="eastAsia"/>
      </w:rPr>
    </w:lvl>
  </w:abstractNum>
  <w:abstractNum w:abstractNumId="5">
    <w:nsid w:val="7F861B7C"/>
    <w:multiLevelType w:val="singleLevel"/>
    <w:tmpl w:val="7F861B7C"/>
    <w:lvl w:ilvl="0" w:tentative="0">
      <w:start w:val="1"/>
      <w:numFmt w:val="bullet"/>
      <w:lvlText w:val=""/>
      <w:lvlJc w:val="left"/>
      <w:pPr>
        <w:tabs>
          <w:tab w:val="left" w:pos="420"/>
        </w:tabs>
        <w:ind w:left="840" w:hanging="420"/>
      </w:pPr>
      <w:rPr>
        <w:rFonts w:hint="default" w:ascii="Wingdings" w:hAnsi="Wingdings"/>
      </w:r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wMTRjYjZjMWU0MDMwMDNlMDBmZjVjMDZiODEyMDQifQ=="/>
  </w:docVars>
  <w:rsids>
    <w:rsidRoot w:val="00A44740"/>
    <w:rsid w:val="00014B23"/>
    <w:rsid w:val="00052EC3"/>
    <w:rsid w:val="00060E0E"/>
    <w:rsid w:val="0006223B"/>
    <w:rsid w:val="00062DF3"/>
    <w:rsid w:val="00063047"/>
    <w:rsid w:val="00074010"/>
    <w:rsid w:val="00074195"/>
    <w:rsid w:val="00084E29"/>
    <w:rsid w:val="00086A53"/>
    <w:rsid w:val="0008759A"/>
    <w:rsid w:val="0009205C"/>
    <w:rsid w:val="0009706C"/>
    <w:rsid w:val="000A2A16"/>
    <w:rsid w:val="000C25CA"/>
    <w:rsid w:val="000C4985"/>
    <w:rsid w:val="000C70E5"/>
    <w:rsid w:val="000F1C70"/>
    <w:rsid w:val="000F3110"/>
    <w:rsid w:val="00100A22"/>
    <w:rsid w:val="001036EC"/>
    <w:rsid w:val="001056F0"/>
    <w:rsid w:val="00134EDB"/>
    <w:rsid w:val="00135118"/>
    <w:rsid w:val="00147B4B"/>
    <w:rsid w:val="001507FB"/>
    <w:rsid w:val="00152ED0"/>
    <w:rsid w:val="00157539"/>
    <w:rsid w:val="001616F0"/>
    <w:rsid w:val="00173F75"/>
    <w:rsid w:val="0019472C"/>
    <w:rsid w:val="001956D9"/>
    <w:rsid w:val="00197160"/>
    <w:rsid w:val="001B6039"/>
    <w:rsid w:val="001C3128"/>
    <w:rsid w:val="001C3F5F"/>
    <w:rsid w:val="001D10DD"/>
    <w:rsid w:val="001F302C"/>
    <w:rsid w:val="001F4302"/>
    <w:rsid w:val="00204244"/>
    <w:rsid w:val="00204668"/>
    <w:rsid w:val="00207DC0"/>
    <w:rsid w:val="00213E35"/>
    <w:rsid w:val="00216537"/>
    <w:rsid w:val="0023275C"/>
    <w:rsid w:val="00237D75"/>
    <w:rsid w:val="00245A3A"/>
    <w:rsid w:val="00252664"/>
    <w:rsid w:val="00252E9B"/>
    <w:rsid w:val="00262857"/>
    <w:rsid w:val="00265E99"/>
    <w:rsid w:val="00266F5B"/>
    <w:rsid w:val="002701E3"/>
    <w:rsid w:val="002718E9"/>
    <w:rsid w:val="002736A5"/>
    <w:rsid w:val="00275C49"/>
    <w:rsid w:val="00277646"/>
    <w:rsid w:val="0028054B"/>
    <w:rsid w:val="00292851"/>
    <w:rsid w:val="00294E88"/>
    <w:rsid w:val="002971B1"/>
    <w:rsid w:val="002A261A"/>
    <w:rsid w:val="002B4006"/>
    <w:rsid w:val="002B452C"/>
    <w:rsid w:val="002B5907"/>
    <w:rsid w:val="002B5B9F"/>
    <w:rsid w:val="002C1D70"/>
    <w:rsid w:val="002D7767"/>
    <w:rsid w:val="002F3B05"/>
    <w:rsid w:val="002F7C10"/>
    <w:rsid w:val="003042D4"/>
    <w:rsid w:val="00304B33"/>
    <w:rsid w:val="0031147C"/>
    <w:rsid w:val="0032099D"/>
    <w:rsid w:val="00355499"/>
    <w:rsid w:val="00372D33"/>
    <w:rsid w:val="003748B3"/>
    <w:rsid w:val="003829BB"/>
    <w:rsid w:val="00383C67"/>
    <w:rsid w:val="0038434A"/>
    <w:rsid w:val="00391070"/>
    <w:rsid w:val="00397DCB"/>
    <w:rsid w:val="003A436C"/>
    <w:rsid w:val="003B396D"/>
    <w:rsid w:val="003D7A3C"/>
    <w:rsid w:val="003E5AED"/>
    <w:rsid w:val="003E6F5D"/>
    <w:rsid w:val="003F2881"/>
    <w:rsid w:val="003F7066"/>
    <w:rsid w:val="003F753A"/>
    <w:rsid w:val="0040121D"/>
    <w:rsid w:val="00402D94"/>
    <w:rsid w:val="00405A04"/>
    <w:rsid w:val="00407C93"/>
    <w:rsid w:val="00407EF8"/>
    <w:rsid w:val="00410227"/>
    <w:rsid w:val="004119AA"/>
    <w:rsid w:val="00413B70"/>
    <w:rsid w:val="00414736"/>
    <w:rsid w:val="00417CF6"/>
    <w:rsid w:val="00421F00"/>
    <w:rsid w:val="00422525"/>
    <w:rsid w:val="004345FA"/>
    <w:rsid w:val="00435025"/>
    <w:rsid w:val="0044148B"/>
    <w:rsid w:val="00445882"/>
    <w:rsid w:val="00447D76"/>
    <w:rsid w:val="0045694E"/>
    <w:rsid w:val="00463CD4"/>
    <w:rsid w:val="004856D0"/>
    <w:rsid w:val="00490A2C"/>
    <w:rsid w:val="004914F7"/>
    <w:rsid w:val="004922BA"/>
    <w:rsid w:val="00495081"/>
    <w:rsid w:val="00495F00"/>
    <w:rsid w:val="0049639F"/>
    <w:rsid w:val="004A04EB"/>
    <w:rsid w:val="004B3F7E"/>
    <w:rsid w:val="004B5B9E"/>
    <w:rsid w:val="004F0B11"/>
    <w:rsid w:val="004F521C"/>
    <w:rsid w:val="004F6E5D"/>
    <w:rsid w:val="00504FFC"/>
    <w:rsid w:val="00505013"/>
    <w:rsid w:val="00521666"/>
    <w:rsid w:val="00524AD4"/>
    <w:rsid w:val="0053331E"/>
    <w:rsid w:val="00534110"/>
    <w:rsid w:val="00534698"/>
    <w:rsid w:val="00546523"/>
    <w:rsid w:val="00551D66"/>
    <w:rsid w:val="00556128"/>
    <w:rsid w:val="00570D61"/>
    <w:rsid w:val="005715D0"/>
    <w:rsid w:val="0057552F"/>
    <w:rsid w:val="005812FA"/>
    <w:rsid w:val="00583A82"/>
    <w:rsid w:val="00585AEC"/>
    <w:rsid w:val="00590237"/>
    <w:rsid w:val="0059453D"/>
    <w:rsid w:val="00596D7D"/>
    <w:rsid w:val="005A14D6"/>
    <w:rsid w:val="005A2E1A"/>
    <w:rsid w:val="005B5633"/>
    <w:rsid w:val="005B564C"/>
    <w:rsid w:val="005B7B99"/>
    <w:rsid w:val="005C7032"/>
    <w:rsid w:val="005C73AE"/>
    <w:rsid w:val="005D74F8"/>
    <w:rsid w:val="005F0460"/>
    <w:rsid w:val="005F21B9"/>
    <w:rsid w:val="005F4299"/>
    <w:rsid w:val="006003EA"/>
    <w:rsid w:val="0060222E"/>
    <w:rsid w:val="00612DB7"/>
    <w:rsid w:val="006165EC"/>
    <w:rsid w:val="00617411"/>
    <w:rsid w:val="00621DE4"/>
    <w:rsid w:val="00625466"/>
    <w:rsid w:val="00641BAF"/>
    <w:rsid w:val="00642D1D"/>
    <w:rsid w:val="00643DB5"/>
    <w:rsid w:val="0065036F"/>
    <w:rsid w:val="00652233"/>
    <w:rsid w:val="00653CAC"/>
    <w:rsid w:val="00683F9C"/>
    <w:rsid w:val="006A0483"/>
    <w:rsid w:val="006B76FA"/>
    <w:rsid w:val="006B7CF5"/>
    <w:rsid w:val="006C0C9E"/>
    <w:rsid w:val="006E06E8"/>
    <w:rsid w:val="006E769E"/>
    <w:rsid w:val="007067E5"/>
    <w:rsid w:val="0070737E"/>
    <w:rsid w:val="00712C8B"/>
    <w:rsid w:val="0074202B"/>
    <w:rsid w:val="00743A1F"/>
    <w:rsid w:val="00747B8B"/>
    <w:rsid w:val="00753C0C"/>
    <w:rsid w:val="007638C1"/>
    <w:rsid w:val="007643FF"/>
    <w:rsid w:val="00766322"/>
    <w:rsid w:val="007716C7"/>
    <w:rsid w:val="00775070"/>
    <w:rsid w:val="0077565A"/>
    <w:rsid w:val="0079104B"/>
    <w:rsid w:val="007941B3"/>
    <w:rsid w:val="007B106C"/>
    <w:rsid w:val="007B782F"/>
    <w:rsid w:val="007C0E22"/>
    <w:rsid w:val="007C6AAC"/>
    <w:rsid w:val="007D087D"/>
    <w:rsid w:val="007D1A54"/>
    <w:rsid w:val="007D4AFA"/>
    <w:rsid w:val="007E7C3B"/>
    <w:rsid w:val="007F395E"/>
    <w:rsid w:val="007F49D0"/>
    <w:rsid w:val="008170E7"/>
    <w:rsid w:val="00821C88"/>
    <w:rsid w:val="0083350D"/>
    <w:rsid w:val="00840B57"/>
    <w:rsid w:val="00842BB2"/>
    <w:rsid w:val="008505AE"/>
    <w:rsid w:val="008508F8"/>
    <w:rsid w:val="008557FC"/>
    <w:rsid w:val="0087262A"/>
    <w:rsid w:val="0088039C"/>
    <w:rsid w:val="00881CB3"/>
    <w:rsid w:val="0088536A"/>
    <w:rsid w:val="008A4884"/>
    <w:rsid w:val="008B0D5A"/>
    <w:rsid w:val="008B512C"/>
    <w:rsid w:val="008B7A7E"/>
    <w:rsid w:val="008C2AE4"/>
    <w:rsid w:val="008C3F23"/>
    <w:rsid w:val="008D3273"/>
    <w:rsid w:val="008D5F84"/>
    <w:rsid w:val="008E0C2D"/>
    <w:rsid w:val="008E7B26"/>
    <w:rsid w:val="008E7D0D"/>
    <w:rsid w:val="008F3F9D"/>
    <w:rsid w:val="00905A74"/>
    <w:rsid w:val="00920126"/>
    <w:rsid w:val="00924514"/>
    <w:rsid w:val="00925904"/>
    <w:rsid w:val="009326DC"/>
    <w:rsid w:val="00933459"/>
    <w:rsid w:val="00937566"/>
    <w:rsid w:val="009448CC"/>
    <w:rsid w:val="009506BF"/>
    <w:rsid w:val="00962078"/>
    <w:rsid w:val="00972AB0"/>
    <w:rsid w:val="0098228C"/>
    <w:rsid w:val="009A6207"/>
    <w:rsid w:val="009C75BD"/>
    <w:rsid w:val="009C784D"/>
    <w:rsid w:val="009D4D9F"/>
    <w:rsid w:val="009D566A"/>
    <w:rsid w:val="009D6F2B"/>
    <w:rsid w:val="009E761B"/>
    <w:rsid w:val="009F2808"/>
    <w:rsid w:val="00A13BAF"/>
    <w:rsid w:val="00A228B2"/>
    <w:rsid w:val="00A25132"/>
    <w:rsid w:val="00A37E7F"/>
    <w:rsid w:val="00A44740"/>
    <w:rsid w:val="00A53003"/>
    <w:rsid w:val="00A54339"/>
    <w:rsid w:val="00A616D3"/>
    <w:rsid w:val="00A61F59"/>
    <w:rsid w:val="00A75542"/>
    <w:rsid w:val="00A832AC"/>
    <w:rsid w:val="00A83A56"/>
    <w:rsid w:val="00A860F8"/>
    <w:rsid w:val="00A87DF3"/>
    <w:rsid w:val="00A95666"/>
    <w:rsid w:val="00A9756C"/>
    <w:rsid w:val="00AB364F"/>
    <w:rsid w:val="00AB72DE"/>
    <w:rsid w:val="00AD024D"/>
    <w:rsid w:val="00AD5F9B"/>
    <w:rsid w:val="00AD619A"/>
    <w:rsid w:val="00AE2519"/>
    <w:rsid w:val="00AE5316"/>
    <w:rsid w:val="00B005E7"/>
    <w:rsid w:val="00B00A43"/>
    <w:rsid w:val="00B0216D"/>
    <w:rsid w:val="00B1473F"/>
    <w:rsid w:val="00B235C1"/>
    <w:rsid w:val="00B3385A"/>
    <w:rsid w:val="00B36867"/>
    <w:rsid w:val="00B459D5"/>
    <w:rsid w:val="00B46051"/>
    <w:rsid w:val="00B508DE"/>
    <w:rsid w:val="00B548B4"/>
    <w:rsid w:val="00B62EAA"/>
    <w:rsid w:val="00B92CD7"/>
    <w:rsid w:val="00B9456A"/>
    <w:rsid w:val="00B96129"/>
    <w:rsid w:val="00BA1C00"/>
    <w:rsid w:val="00BA38D2"/>
    <w:rsid w:val="00BA67CB"/>
    <w:rsid w:val="00BB57C6"/>
    <w:rsid w:val="00BB7C07"/>
    <w:rsid w:val="00BC5889"/>
    <w:rsid w:val="00BC58D9"/>
    <w:rsid w:val="00BD6845"/>
    <w:rsid w:val="00BE56F5"/>
    <w:rsid w:val="00BF1222"/>
    <w:rsid w:val="00BF1CE3"/>
    <w:rsid w:val="00BF735A"/>
    <w:rsid w:val="00C00A4E"/>
    <w:rsid w:val="00C11112"/>
    <w:rsid w:val="00C1401D"/>
    <w:rsid w:val="00C24A62"/>
    <w:rsid w:val="00C563BE"/>
    <w:rsid w:val="00C61F8B"/>
    <w:rsid w:val="00C71598"/>
    <w:rsid w:val="00C77455"/>
    <w:rsid w:val="00C846A2"/>
    <w:rsid w:val="00C846FA"/>
    <w:rsid w:val="00C8546F"/>
    <w:rsid w:val="00C93490"/>
    <w:rsid w:val="00C95CF5"/>
    <w:rsid w:val="00C97503"/>
    <w:rsid w:val="00CA3085"/>
    <w:rsid w:val="00CA4741"/>
    <w:rsid w:val="00CB67EC"/>
    <w:rsid w:val="00CC1731"/>
    <w:rsid w:val="00CC5D71"/>
    <w:rsid w:val="00CD71AE"/>
    <w:rsid w:val="00CE02F1"/>
    <w:rsid w:val="00CF1475"/>
    <w:rsid w:val="00CF3692"/>
    <w:rsid w:val="00CF47FD"/>
    <w:rsid w:val="00D01824"/>
    <w:rsid w:val="00D026DC"/>
    <w:rsid w:val="00D02A94"/>
    <w:rsid w:val="00D14375"/>
    <w:rsid w:val="00D155F4"/>
    <w:rsid w:val="00D179C3"/>
    <w:rsid w:val="00D20065"/>
    <w:rsid w:val="00D60724"/>
    <w:rsid w:val="00D62F66"/>
    <w:rsid w:val="00D65FE5"/>
    <w:rsid w:val="00DA1A2D"/>
    <w:rsid w:val="00DA4EE1"/>
    <w:rsid w:val="00DA737B"/>
    <w:rsid w:val="00DC4BBB"/>
    <w:rsid w:val="00DE2346"/>
    <w:rsid w:val="00DF1CB2"/>
    <w:rsid w:val="00DF2DCE"/>
    <w:rsid w:val="00E04FBA"/>
    <w:rsid w:val="00E12EDA"/>
    <w:rsid w:val="00E175D9"/>
    <w:rsid w:val="00E23AF0"/>
    <w:rsid w:val="00E25CC8"/>
    <w:rsid w:val="00E30ADE"/>
    <w:rsid w:val="00E35C71"/>
    <w:rsid w:val="00E37336"/>
    <w:rsid w:val="00E403C5"/>
    <w:rsid w:val="00E41BDE"/>
    <w:rsid w:val="00E45FF4"/>
    <w:rsid w:val="00E746A0"/>
    <w:rsid w:val="00E74B67"/>
    <w:rsid w:val="00E814E2"/>
    <w:rsid w:val="00E95ABD"/>
    <w:rsid w:val="00EB4359"/>
    <w:rsid w:val="00EB77DE"/>
    <w:rsid w:val="00EB7C3C"/>
    <w:rsid w:val="00EE01DD"/>
    <w:rsid w:val="00EE415B"/>
    <w:rsid w:val="00F005D9"/>
    <w:rsid w:val="00F031ED"/>
    <w:rsid w:val="00F0444B"/>
    <w:rsid w:val="00F06AB9"/>
    <w:rsid w:val="00F14F47"/>
    <w:rsid w:val="00F17683"/>
    <w:rsid w:val="00F25152"/>
    <w:rsid w:val="00F339C5"/>
    <w:rsid w:val="00F46BD4"/>
    <w:rsid w:val="00F52292"/>
    <w:rsid w:val="00F5318D"/>
    <w:rsid w:val="00F549C6"/>
    <w:rsid w:val="00F71F2F"/>
    <w:rsid w:val="00F73141"/>
    <w:rsid w:val="00F82E92"/>
    <w:rsid w:val="00FB039D"/>
    <w:rsid w:val="00FB4D08"/>
    <w:rsid w:val="00FB65AB"/>
    <w:rsid w:val="00FB7883"/>
    <w:rsid w:val="00FF2B8B"/>
    <w:rsid w:val="00FF37DA"/>
    <w:rsid w:val="00FF4C75"/>
    <w:rsid w:val="00FF5A8D"/>
    <w:rsid w:val="00FF67D8"/>
    <w:rsid w:val="1C7E1373"/>
    <w:rsid w:val="2D692247"/>
    <w:rsid w:val="348D73AF"/>
    <w:rsid w:val="5C7F6567"/>
    <w:rsid w:val="67FC99C4"/>
    <w:rsid w:val="76FB2B10"/>
    <w:rsid w:val="F5FDB0C3"/>
    <w:rsid w:val="FFD9B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qFormat="1" w:uiPriority="99"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29"/>
    <w:autoRedefine/>
    <w:qFormat/>
    <w:uiPriority w:val="9"/>
    <w:pPr>
      <w:keepNext/>
      <w:keepLines/>
      <w:spacing w:before="340" w:after="330" w:line="578" w:lineRule="auto"/>
      <w:outlineLvl w:val="0"/>
    </w:pPr>
    <w:rPr>
      <w:rFonts w:eastAsia="黑体"/>
      <w:b/>
      <w:bCs/>
      <w:kern w:val="44"/>
      <w:sz w:val="28"/>
      <w:szCs w:val="44"/>
    </w:rPr>
  </w:style>
  <w:style w:type="paragraph" w:styleId="3">
    <w:name w:val="heading 2"/>
    <w:basedOn w:val="1"/>
    <w:next w:val="1"/>
    <w:link w:val="30"/>
    <w:autoRedefine/>
    <w:unhideWhenUsed/>
    <w:qFormat/>
    <w:uiPriority w:val="9"/>
    <w:pPr>
      <w:keepNext/>
      <w:keepLines/>
      <w:spacing w:before="260" w:after="260" w:line="416" w:lineRule="auto"/>
      <w:outlineLvl w:val="1"/>
    </w:pPr>
    <w:rPr>
      <w:rFonts w:eastAsia="黑体" w:asciiTheme="majorHAnsi" w:hAnsiTheme="majorHAnsi" w:cstheme="majorBidi"/>
      <w:b/>
      <w:bCs/>
      <w:sz w:val="24"/>
      <w:szCs w:val="32"/>
    </w:rPr>
  </w:style>
  <w:style w:type="paragraph" w:styleId="4">
    <w:name w:val="heading 3"/>
    <w:basedOn w:val="1"/>
    <w:next w:val="1"/>
    <w:link w:val="31"/>
    <w:autoRedefine/>
    <w:unhideWhenUsed/>
    <w:qFormat/>
    <w:uiPriority w:val="9"/>
    <w:pPr>
      <w:keepNext/>
      <w:keepLines/>
      <w:spacing w:before="260" w:after="260" w:line="416" w:lineRule="auto"/>
      <w:outlineLvl w:val="2"/>
    </w:pPr>
    <w:rPr>
      <w:rFonts w:eastAsia="黑体"/>
      <w:b/>
      <w:bCs/>
      <w:sz w:val="24"/>
      <w:szCs w:val="32"/>
    </w:rPr>
  </w:style>
  <w:style w:type="paragraph" w:styleId="5">
    <w:name w:val="heading 4"/>
    <w:basedOn w:val="1"/>
    <w:next w:val="1"/>
    <w:link w:val="32"/>
    <w:autoRedefine/>
    <w:unhideWhenUsed/>
    <w:qFormat/>
    <w:uiPriority w:val="0"/>
    <w:pPr>
      <w:keepNext/>
      <w:keepLines/>
      <w:spacing w:before="280" w:after="290" w:line="376" w:lineRule="auto"/>
      <w:outlineLvl w:val="3"/>
    </w:pPr>
    <w:rPr>
      <w:rFonts w:eastAsia="黑体" w:asciiTheme="majorHAnsi" w:hAnsiTheme="majorHAnsi" w:cstheme="majorBidi"/>
      <w:b/>
      <w:bCs/>
      <w:sz w:val="24"/>
      <w:szCs w:val="28"/>
    </w:rPr>
  </w:style>
  <w:style w:type="paragraph" w:styleId="6">
    <w:name w:val="heading 5"/>
    <w:basedOn w:val="1"/>
    <w:next w:val="1"/>
    <w:link w:val="33"/>
    <w:autoRedefine/>
    <w:unhideWhenUsed/>
    <w:qFormat/>
    <w:uiPriority w:val="0"/>
    <w:pPr>
      <w:keepNext/>
      <w:keepLines/>
      <w:spacing w:before="280" w:after="290" w:line="376" w:lineRule="auto"/>
      <w:outlineLvl w:val="4"/>
    </w:pPr>
    <w:rPr>
      <w:rFonts w:ascii="Calibri" w:hAnsi="Calibri" w:eastAsia="仿宋" w:cs="Times New Roman"/>
      <w:b/>
      <w:bCs/>
      <w:sz w:val="28"/>
      <w:szCs w:val="28"/>
    </w:rPr>
  </w:style>
  <w:style w:type="character" w:default="1" w:styleId="25">
    <w:name w:val="Default Paragraph Font"/>
    <w:autoRedefine/>
    <w:unhideWhenUsed/>
    <w:qFormat/>
    <w:uiPriority w:val="1"/>
  </w:style>
  <w:style w:type="table" w:default="1" w:styleId="23">
    <w:name w:val="Normal Table"/>
    <w:autoRedefine/>
    <w:unhideWhenUsed/>
    <w:qFormat/>
    <w:uiPriority w:val="99"/>
    <w:tblPr>
      <w:tblCellMar>
        <w:top w:w="0" w:type="dxa"/>
        <w:left w:w="108" w:type="dxa"/>
        <w:bottom w:w="0" w:type="dxa"/>
        <w:right w:w="108" w:type="dxa"/>
      </w:tblCellMar>
    </w:tblPr>
  </w:style>
  <w:style w:type="paragraph" w:styleId="7">
    <w:name w:val="Normal Indent"/>
    <w:basedOn w:val="1"/>
    <w:autoRedefine/>
    <w:qFormat/>
    <w:uiPriority w:val="0"/>
    <w:pPr>
      <w:ind w:firstLine="420" w:firstLineChars="200"/>
    </w:pPr>
    <w:rPr>
      <w:rFonts w:ascii="Calibri" w:hAnsi="Calibri" w:eastAsia="仿宋" w:cs="Times New Roman"/>
      <w:sz w:val="30"/>
    </w:rPr>
  </w:style>
  <w:style w:type="paragraph" w:styleId="8">
    <w:name w:val="caption"/>
    <w:basedOn w:val="1"/>
    <w:next w:val="1"/>
    <w:autoRedefine/>
    <w:unhideWhenUsed/>
    <w:qFormat/>
    <w:uiPriority w:val="35"/>
    <w:pPr>
      <w:widowControl/>
      <w:spacing w:after="200"/>
      <w:jc w:val="left"/>
    </w:pPr>
    <w:rPr>
      <w:b/>
      <w:bCs/>
      <w:color w:val="4472C4" w:themeColor="accent1"/>
      <w:kern w:val="0"/>
      <w:sz w:val="18"/>
      <w:szCs w:val="18"/>
      <w:lang w:eastAsia="en-US" w:bidi="en-US"/>
      <w14:textFill>
        <w14:solidFill>
          <w14:schemeClr w14:val="accent1"/>
        </w14:solidFill>
      </w14:textFill>
    </w:rPr>
  </w:style>
  <w:style w:type="paragraph" w:styleId="9">
    <w:name w:val="Document Map"/>
    <w:basedOn w:val="1"/>
    <w:link w:val="36"/>
    <w:autoRedefine/>
    <w:unhideWhenUsed/>
    <w:qFormat/>
    <w:uiPriority w:val="99"/>
    <w:rPr>
      <w:rFonts w:ascii="宋体" w:eastAsia="宋体"/>
      <w:sz w:val="18"/>
      <w:szCs w:val="18"/>
    </w:rPr>
  </w:style>
  <w:style w:type="paragraph" w:styleId="10">
    <w:name w:val="annotation text"/>
    <w:basedOn w:val="1"/>
    <w:link w:val="42"/>
    <w:autoRedefine/>
    <w:semiHidden/>
    <w:qFormat/>
    <w:uiPriority w:val="99"/>
    <w:pPr>
      <w:spacing w:line="360" w:lineRule="auto"/>
      <w:jc w:val="left"/>
    </w:pPr>
    <w:rPr>
      <w:rFonts w:ascii="Calibri" w:hAnsi="Calibri" w:eastAsia="宋体" w:cs="Calibri"/>
      <w:szCs w:val="21"/>
    </w:rPr>
  </w:style>
  <w:style w:type="paragraph" w:styleId="11">
    <w:name w:val="Body Text"/>
    <w:basedOn w:val="1"/>
    <w:link w:val="38"/>
    <w:autoRedefine/>
    <w:qFormat/>
    <w:uiPriority w:val="1"/>
    <w:pPr>
      <w:spacing w:before="116"/>
      <w:ind w:left="117"/>
      <w:jc w:val="left"/>
    </w:pPr>
    <w:rPr>
      <w:rFonts w:ascii="宋体" w:hAnsi="宋体" w:eastAsia="宋体" w:cs="Times New Roman"/>
      <w:kern w:val="0"/>
      <w:szCs w:val="21"/>
      <w:lang w:eastAsia="en-US"/>
    </w:rPr>
  </w:style>
  <w:style w:type="paragraph" w:styleId="12">
    <w:name w:val="toc 3"/>
    <w:basedOn w:val="1"/>
    <w:next w:val="1"/>
    <w:autoRedefine/>
    <w:unhideWhenUsed/>
    <w:qFormat/>
    <w:uiPriority w:val="39"/>
    <w:pPr>
      <w:ind w:left="840" w:leftChars="400"/>
    </w:pPr>
  </w:style>
  <w:style w:type="paragraph" w:styleId="13">
    <w:name w:val="Plain Text"/>
    <w:basedOn w:val="1"/>
    <w:link w:val="64"/>
    <w:autoRedefine/>
    <w:qFormat/>
    <w:uiPriority w:val="0"/>
    <w:rPr>
      <w:rFonts w:ascii="宋体" w:hAnsi="Courier New" w:eastAsia="仿宋" w:cs="Times New Roman"/>
      <w:sz w:val="24"/>
      <w:szCs w:val="20"/>
    </w:rPr>
  </w:style>
  <w:style w:type="paragraph" w:styleId="14">
    <w:name w:val="endnote text"/>
    <w:basedOn w:val="1"/>
    <w:link w:val="65"/>
    <w:autoRedefine/>
    <w:unhideWhenUsed/>
    <w:qFormat/>
    <w:uiPriority w:val="99"/>
    <w:pPr>
      <w:snapToGrid w:val="0"/>
      <w:jc w:val="left"/>
    </w:pPr>
    <w:rPr>
      <w:rFonts w:ascii="Calibri" w:hAnsi="Calibri" w:eastAsia="仿宋" w:cs="Times New Roman"/>
      <w:sz w:val="30"/>
    </w:rPr>
  </w:style>
  <w:style w:type="paragraph" w:styleId="15">
    <w:name w:val="Balloon Text"/>
    <w:basedOn w:val="1"/>
    <w:link w:val="37"/>
    <w:autoRedefine/>
    <w:unhideWhenUsed/>
    <w:qFormat/>
    <w:uiPriority w:val="0"/>
    <w:rPr>
      <w:sz w:val="18"/>
      <w:szCs w:val="18"/>
    </w:rPr>
  </w:style>
  <w:style w:type="paragraph" w:styleId="16">
    <w:name w:val="footer"/>
    <w:basedOn w:val="1"/>
    <w:link w:val="35"/>
    <w:autoRedefine/>
    <w:unhideWhenUsed/>
    <w:qFormat/>
    <w:uiPriority w:val="99"/>
    <w:pPr>
      <w:tabs>
        <w:tab w:val="center" w:pos="4153"/>
        <w:tab w:val="right" w:pos="8306"/>
      </w:tabs>
      <w:snapToGrid w:val="0"/>
      <w:jc w:val="left"/>
    </w:pPr>
    <w:rPr>
      <w:sz w:val="18"/>
      <w:szCs w:val="18"/>
    </w:rPr>
  </w:style>
  <w:style w:type="paragraph" w:styleId="17">
    <w:name w:val="header"/>
    <w:basedOn w:val="1"/>
    <w:link w:val="3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style>
  <w:style w:type="paragraph" w:styleId="19">
    <w:name w:val="toc 2"/>
    <w:basedOn w:val="1"/>
    <w:next w:val="1"/>
    <w:autoRedefine/>
    <w:unhideWhenUsed/>
    <w:qFormat/>
    <w:uiPriority w:val="39"/>
    <w:pPr>
      <w:ind w:left="420" w:leftChars="200"/>
    </w:pPr>
  </w:style>
  <w:style w:type="paragraph" w:styleId="20">
    <w:name w:val="HTML Preformatted"/>
    <w:basedOn w:val="1"/>
    <w:link w:val="43"/>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Times New Roman" w:eastAsia="宋体" w:cs="Times New Roman"/>
      <w:kern w:val="0"/>
      <w:sz w:val="24"/>
      <w:szCs w:val="20"/>
    </w:rPr>
  </w:style>
  <w:style w:type="paragraph" w:styleId="21">
    <w:name w:val="Normal (Web)"/>
    <w:basedOn w:val="1"/>
    <w:autoRedefine/>
    <w:unhideWhenUsed/>
    <w:qFormat/>
    <w:uiPriority w:val="99"/>
    <w:rPr>
      <w:rFonts w:ascii="Times New Roman" w:hAnsi="Times New Roman" w:eastAsia="仿宋" w:cs="Times New Roman"/>
      <w:sz w:val="24"/>
      <w:szCs w:val="24"/>
    </w:rPr>
  </w:style>
  <w:style w:type="paragraph" w:styleId="22">
    <w:name w:val="annotation subject"/>
    <w:basedOn w:val="10"/>
    <w:next w:val="10"/>
    <w:link w:val="44"/>
    <w:autoRedefine/>
    <w:semiHidden/>
    <w:qFormat/>
    <w:uiPriority w:val="0"/>
    <w:rPr>
      <w:b/>
      <w:bCs/>
    </w:rPr>
  </w:style>
  <w:style w:type="table" w:styleId="24">
    <w:name w:val="Table Grid"/>
    <w:basedOn w:val="2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autoRedefine/>
    <w:qFormat/>
    <w:uiPriority w:val="0"/>
    <w:rPr>
      <w:b/>
      <w:bCs/>
    </w:rPr>
  </w:style>
  <w:style w:type="character" w:styleId="27">
    <w:name w:val="FollowedHyperlink"/>
    <w:basedOn w:val="25"/>
    <w:autoRedefine/>
    <w:unhideWhenUsed/>
    <w:qFormat/>
    <w:uiPriority w:val="99"/>
    <w:rPr>
      <w:color w:val="954F72" w:themeColor="followedHyperlink"/>
      <w:u w:val="single"/>
      <w14:textFill>
        <w14:solidFill>
          <w14:schemeClr w14:val="folHlink"/>
        </w14:solidFill>
      </w14:textFill>
    </w:rPr>
  </w:style>
  <w:style w:type="character" w:styleId="28">
    <w:name w:val="Hyperlink"/>
    <w:basedOn w:val="25"/>
    <w:autoRedefine/>
    <w:unhideWhenUsed/>
    <w:qFormat/>
    <w:uiPriority w:val="99"/>
    <w:rPr>
      <w:color w:val="0563C1" w:themeColor="hyperlink"/>
      <w:u w:val="single"/>
      <w14:textFill>
        <w14:solidFill>
          <w14:schemeClr w14:val="hlink"/>
        </w14:solidFill>
      </w14:textFill>
    </w:rPr>
  </w:style>
  <w:style w:type="character" w:customStyle="1" w:styleId="29">
    <w:name w:val="标题 1 字符"/>
    <w:basedOn w:val="25"/>
    <w:link w:val="2"/>
    <w:autoRedefine/>
    <w:qFormat/>
    <w:uiPriority w:val="1"/>
    <w:rPr>
      <w:rFonts w:eastAsia="黑体"/>
      <w:b/>
      <w:bCs/>
      <w:kern w:val="44"/>
      <w:sz w:val="28"/>
      <w:szCs w:val="44"/>
    </w:rPr>
  </w:style>
  <w:style w:type="character" w:customStyle="1" w:styleId="30">
    <w:name w:val="标题 2 字符"/>
    <w:basedOn w:val="25"/>
    <w:link w:val="3"/>
    <w:autoRedefine/>
    <w:qFormat/>
    <w:uiPriority w:val="9"/>
    <w:rPr>
      <w:rFonts w:eastAsia="黑体" w:asciiTheme="majorHAnsi" w:hAnsiTheme="majorHAnsi" w:cstheme="majorBidi"/>
      <w:b/>
      <w:bCs/>
      <w:sz w:val="24"/>
      <w:szCs w:val="32"/>
    </w:rPr>
  </w:style>
  <w:style w:type="character" w:customStyle="1" w:styleId="31">
    <w:name w:val="标题 3 字符"/>
    <w:basedOn w:val="25"/>
    <w:link w:val="4"/>
    <w:autoRedefine/>
    <w:qFormat/>
    <w:uiPriority w:val="9"/>
    <w:rPr>
      <w:rFonts w:eastAsia="黑体"/>
      <w:b/>
      <w:bCs/>
      <w:sz w:val="24"/>
      <w:szCs w:val="32"/>
    </w:rPr>
  </w:style>
  <w:style w:type="character" w:customStyle="1" w:styleId="32">
    <w:name w:val="标题 4 字符"/>
    <w:basedOn w:val="25"/>
    <w:link w:val="5"/>
    <w:autoRedefine/>
    <w:qFormat/>
    <w:uiPriority w:val="0"/>
    <w:rPr>
      <w:rFonts w:eastAsia="黑体" w:asciiTheme="majorHAnsi" w:hAnsiTheme="majorHAnsi" w:cstheme="majorBidi"/>
      <w:b/>
      <w:bCs/>
      <w:sz w:val="24"/>
      <w:szCs w:val="28"/>
    </w:rPr>
  </w:style>
  <w:style w:type="character" w:customStyle="1" w:styleId="33">
    <w:name w:val="标题 5 字符"/>
    <w:basedOn w:val="25"/>
    <w:link w:val="6"/>
    <w:autoRedefine/>
    <w:qFormat/>
    <w:uiPriority w:val="0"/>
    <w:rPr>
      <w:rFonts w:ascii="Calibri" w:hAnsi="Calibri" w:eastAsia="仿宋" w:cs="Times New Roman"/>
      <w:b/>
      <w:bCs/>
      <w:sz w:val="28"/>
      <w:szCs w:val="28"/>
    </w:rPr>
  </w:style>
  <w:style w:type="character" w:customStyle="1" w:styleId="34">
    <w:name w:val="页眉 字符"/>
    <w:basedOn w:val="25"/>
    <w:link w:val="17"/>
    <w:autoRedefine/>
    <w:qFormat/>
    <w:uiPriority w:val="99"/>
    <w:rPr>
      <w:sz w:val="18"/>
      <w:szCs w:val="18"/>
    </w:rPr>
  </w:style>
  <w:style w:type="character" w:customStyle="1" w:styleId="35">
    <w:name w:val="页脚 字符"/>
    <w:basedOn w:val="25"/>
    <w:link w:val="16"/>
    <w:autoRedefine/>
    <w:qFormat/>
    <w:uiPriority w:val="99"/>
    <w:rPr>
      <w:sz w:val="18"/>
      <w:szCs w:val="18"/>
    </w:rPr>
  </w:style>
  <w:style w:type="character" w:customStyle="1" w:styleId="36">
    <w:name w:val="文档结构图 字符"/>
    <w:basedOn w:val="25"/>
    <w:link w:val="9"/>
    <w:autoRedefine/>
    <w:semiHidden/>
    <w:qFormat/>
    <w:uiPriority w:val="99"/>
    <w:rPr>
      <w:rFonts w:ascii="宋体" w:eastAsia="宋体"/>
      <w:sz w:val="18"/>
      <w:szCs w:val="18"/>
    </w:rPr>
  </w:style>
  <w:style w:type="character" w:customStyle="1" w:styleId="37">
    <w:name w:val="批注框文本 字符"/>
    <w:basedOn w:val="25"/>
    <w:link w:val="15"/>
    <w:autoRedefine/>
    <w:qFormat/>
    <w:uiPriority w:val="0"/>
    <w:rPr>
      <w:sz w:val="18"/>
      <w:szCs w:val="18"/>
    </w:rPr>
  </w:style>
  <w:style w:type="character" w:customStyle="1" w:styleId="38">
    <w:name w:val="正文文本 字符"/>
    <w:basedOn w:val="25"/>
    <w:link w:val="11"/>
    <w:autoRedefine/>
    <w:qFormat/>
    <w:uiPriority w:val="1"/>
    <w:rPr>
      <w:rFonts w:ascii="宋体" w:hAnsi="宋体" w:eastAsia="宋体" w:cs="Times New Roman"/>
      <w:kern w:val="0"/>
      <w:szCs w:val="21"/>
      <w:lang w:eastAsia="en-US"/>
    </w:rPr>
  </w:style>
  <w:style w:type="paragraph" w:customStyle="1" w:styleId="39">
    <w:name w:val="Table Paragraph"/>
    <w:basedOn w:val="1"/>
    <w:autoRedefine/>
    <w:qFormat/>
    <w:uiPriority w:val="1"/>
    <w:pPr>
      <w:jc w:val="left"/>
    </w:pPr>
    <w:rPr>
      <w:rFonts w:ascii="Calibri" w:hAnsi="Calibri" w:eastAsia="宋体" w:cs="Times New Roman"/>
      <w:kern w:val="0"/>
      <w:sz w:val="22"/>
      <w:lang w:eastAsia="en-US"/>
    </w:rPr>
  </w:style>
  <w:style w:type="paragraph" w:customStyle="1" w:styleId="40">
    <w:name w:val="TOC Heading"/>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41">
    <w:name w:val="List Paragraph"/>
    <w:basedOn w:val="1"/>
    <w:autoRedefine/>
    <w:qFormat/>
    <w:uiPriority w:val="34"/>
    <w:pPr>
      <w:ind w:firstLine="420" w:firstLineChars="200"/>
    </w:pPr>
  </w:style>
  <w:style w:type="character" w:customStyle="1" w:styleId="42">
    <w:name w:val="批注文字 字符"/>
    <w:basedOn w:val="25"/>
    <w:link w:val="10"/>
    <w:autoRedefine/>
    <w:semiHidden/>
    <w:qFormat/>
    <w:uiPriority w:val="99"/>
    <w:rPr>
      <w:rFonts w:ascii="Calibri" w:hAnsi="Calibri" w:eastAsia="宋体" w:cs="Calibri"/>
      <w:szCs w:val="21"/>
    </w:rPr>
  </w:style>
  <w:style w:type="character" w:customStyle="1" w:styleId="43">
    <w:name w:val="HTML 预设格式 字符"/>
    <w:basedOn w:val="25"/>
    <w:link w:val="20"/>
    <w:autoRedefine/>
    <w:qFormat/>
    <w:uiPriority w:val="0"/>
    <w:rPr>
      <w:rFonts w:ascii="宋体" w:hAnsi="Times New Roman" w:eastAsia="宋体" w:cs="Times New Roman"/>
      <w:kern w:val="0"/>
      <w:sz w:val="24"/>
      <w:szCs w:val="20"/>
    </w:rPr>
  </w:style>
  <w:style w:type="character" w:customStyle="1" w:styleId="44">
    <w:name w:val="批注主题 字符"/>
    <w:basedOn w:val="42"/>
    <w:link w:val="22"/>
    <w:autoRedefine/>
    <w:semiHidden/>
    <w:qFormat/>
    <w:uiPriority w:val="0"/>
    <w:rPr>
      <w:rFonts w:ascii="Calibri" w:hAnsi="Calibri" w:eastAsia="宋体" w:cs="Calibri"/>
      <w:b/>
      <w:bCs/>
      <w:szCs w:val="21"/>
    </w:rPr>
  </w:style>
  <w:style w:type="paragraph" w:customStyle="1" w:styleId="45">
    <w:name w:val="列出段落1"/>
    <w:basedOn w:val="1"/>
    <w:autoRedefine/>
    <w:qFormat/>
    <w:uiPriority w:val="0"/>
    <w:pPr>
      <w:spacing w:line="360" w:lineRule="auto"/>
      <w:ind w:firstLine="420" w:firstLineChars="200"/>
    </w:pPr>
    <w:rPr>
      <w:rFonts w:ascii="Calibri" w:hAnsi="Calibri" w:eastAsia="宋体" w:cs="Calibri"/>
      <w:szCs w:val="21"/>
    </w:rPr>
  </w:style>
  <w:style w:type="paragraph" w:customStyle="1" w:styleId="46">
    <w:name w:val="Default"/>
    <w:autoRedefine/>
    <w:qFormat/>
    <w:uiPriority w:val="0"/>
    <w:pPr>
      <w:widowControl w:val="0"/>
      <w:autoSpaceDE w:val="0"/>
      <w:autoSpaceDN w:val="0"/>
      <w:adjustRightInd w:val="0"/>
    </w:pPr>
    <w:rPr>
      <w:rFonts w:ascii="宋体è....." w:hAnsi="Calibri" w:eastAsia="宋体è....." w:cs="宋体è....."/>
      <w:color w:val="000000"/>
      <w:kern w:val="0"/>
      <w:sz w:val="24"/>
      <w:szCs w:val="24"/>
      <w:lang w:val="en-US" w:eastAsia="zh-CN" w:bidi="ar-SA"/>
    </w:rPr>
  </w:style>
  <w:style w:type="character" w:customStyle="1" w:styleId="47">
    <w:name w:val="段 Char Char"/>
    <w:link w:val="48"/>
    <w:autoRedefine/>
    <w:qFormat/>
    <w:locked/>
    <w:uiPriority w:val="0"/>
    <w:rPr>
      <w:rFonts w:ascii="宋体" w:hAnsi="Calibri" w:cs="宋体"/>
      <w:szCs w:val="21"/>
    </w:rPr>
  </w:style>
  <w:style w:type="paragraph" w:customStyle="1" w:styleId="48">
    <w:name w:val="段"/>
    <w:link w:val="47"/>
    <w:autoRedefine/>
    <w:qFormat/>
    <w:uiPriority w:val="0"/>
    <w:pPr>
      <w:tabs>
        <w:tab w:val="center" w:pos="4201"/>
        <w:tab w:val="right" w:leader="dot" w:pos="9298"/>
      </w:tabs>
      <w:autoSpaceDE w:val="0"/>
      <w:autoSpaceDN w:val="0"/>
      <w:ind w:firstLine="420" w:firstLineChars="200"/>
      <w:jc w:val="both"/>
    </w:pPr>
    <w:rPr>
      <w:rFonts w:ascii="宋体" w:hAnsi="Calibri" w:cs="宋体" w:eastAsiaTheme="minorEastAsia"/>
      <w:kern w:val="2"/>
      <w:sz w:val="21"/>
      <w:szCs w:val="21"/>
      <w:lang w:val="en-US" w:eastAsia="zh-CN" w:bidi="ar-SA"/>
    </w:rPr>
  </w:style>
  <w:style w:type="paragraph" w:customStyle="1" w:styleId="49">
    <w:name w:val="列出段落2"/>
    <w:basedOn w:val="1"/>
    <w:autoRedefine/>
    <w:qFormat/>
    <w:uiPriority w:val="99"/>
    <w:pPr>
      <w:ind w:firstLine="420" w:firstLineChars="200"/>
    </w:pPr>
    <w:rPr>
      <w:rFonts w:ascii="Calibri" w:hAnsi="Calibri" w:eastAsia="宋体" w:cs="Times New Roman"/>
    </w:rPr>
  </w:style>
  <w:style w:type="character" w:customStyle="1" w:styleId="50">
    <w:name w:val="段 Char"/>
    <w:autoRedefine/>
    <w:qFormat/>
    <w:uiPriority w:val="0"/>
    <w:rPr>
      <w:rFonts w:ascii="宋体"/>
      <w:sz w:val="21"/>
      <w:lang w:val="en-US" w:eastAsia="zh-CN"/>
    </w:rPr>
  </w:style>
  <w:style w:type="paragraph" w:customStyle="1" w:styleId="51">
    <w:name w:val="一级条标题"/>
    <w:next w:val="48"/>
    <w:autoRedefine/>
    <w:qFormat/>
    <w:uiPriority w:val="0"/>
    <w:pPr>
      <w:spacing w:beforeLines="50" w:afterLines="50"/>
      <w:ind w:left="1417"/>
      <w:outlineLvl w:val="2"/>
    </w:pPr>
    <w:rPr>
      <w:rFonts w:ascii="黑体" w:hAnsi="Times New Roman" w:eastAsia="黑体" w:cs="Times New Roman"/>
      <w:kern w:val="0"/>
      <w:sz w:val="21"/>
      <w:szCs w:val="21"/>
      <w:lang w:val="en-US" w:eastAsia="zh-CN" w:bidi="ar-SA"/>
    </w:rPr>
  </w:style>
  <w:style w:type="paragraph" w:customStyle="1" w:styleId="52">
    <w:name w:val="章标题"/>
    <w:next w:val="48"/>
    <w:autoRedefine/>
    <w:qFormat/>
    <w:uiPriority w:val="0"/>
    <w:pPr>
      <w:spacing w:beforeLines="100" w:afterLines="100"/>
      <w:ind w:left="2127"/>
      <w:jc w:val="both"/>
      <w:outlineLvl w:val="1"/>
    </w:pPr>
    <w:rPr>
      <w:rFonts w:ascii="黑体" w:hAnsi="Times New Roman" w:eastAsia="黑体" w:cs="Times New Roman"/>
      <w:kern w:val="0"/>
      <w:sz w:val="21"/>
      <w:szCs w:val="20"/>
      <w:lang w:val="en-US" w:eastAsia="zh-CN" w:bidi="ar-SA"/>
    </w:rPr>
  </w:style>
  <w:style w:type="paragraph" w:customStyle="1" w:styleId="53">
    <w:name w:val="二级条标题"/>
    <w:basedOn w:val="51"/>
    <w:next w:val="48"/>
    <w:autoRedefine/>
    <w:qFormat/>
    <w:uiPriority w:val="0"/>
    <w:pPr>
      <w:spacing w:before="50" w:after="50"/>
      <w:ind w:left="1275"/>
      <w:outlineLvl w:val="3"/>
    </w:pPr>
  </w:style>
  <w:style w:type="paragraph" w:customStyle="1" w:styleId="54">
    <w:name w:val="三级条标题"/>
    <w:basedOn w:val="53"/>
    <w:next w:val="48"/>
    <w:autoRedefine/>
    <w:qFormat/>
    <w:uiPriority w:val="0"/>
    <w:pPr>
      <w:ind w:left="1275"/>
      <w:outlineLvl w:val="4"/>
    </w:pPr>
  </w:style>
  <w:style w:type="paragraph" w:customStyle="1" w:styleId="55">
    <w:name w:val="四级条标题"/>
    <w:basedOn w:val="54"/>
    <w:next w:val="48"/>
    <w:autoRedefine/>
    <w:qFormat/>
    <w:uiPriority w:val="0"/>
    <w:pPr>
      <w:ind w:left="1275"/>
      <w:outlineLvl w:val="5"/>
    </w:pPr>
  </w:style>
  <w:style w:type="paragraph" w:customStyle="1" w:styleId="56">
    <w:name w:val="五级条标题"/>
    <w:basedOn w:val="55"/>
    <w:next w:val="48"/>
    <w:autoRedefine/>
    <w:qFormat/>
    <w:uiPriority w:val="0"/>
    <w:pPr>
      <w:ind w:left="1275"/>
      <w:outlineLvl w:val="6"/>
    </w:pPr>
  </w:style>
  <w:style w:type="paragraph" w:customStyle="1" w:styleId="57">
    <w:name w:val="标准二级标题"/>
    <w:basedOn w:val="5"/>
    <w:link w:val="58"/>
    <w:autoRedefine/>
    <w:qFormat/>
    <w:uiPriority w:val="0"/>
    <w:pPr>
      <w:jc w:val="left"/>
    </w:pPr>
    <w:rPr>
      <w:rFonts w:ascii="Cambria" w:hAnsi="Cambria" w:cs="Times New Roman"/>
      <w:sz w:val="28"/>
    </w:rPr>
  </w:style>
  <w:style w:type="character" w:customStyle="1" w:styleId="58">
    <w:name w:val="标准二级标题 字符"/>
    <w:link w:val="57"/>
    <w:autoRedefine/>
    <w:qFormat/>
    <w:locked/>
    <w:uiPriority w:val="0"/>
    <w:rPr>
      <w:rFonts w:ascii="Cambria" w:hAnsi="Cambria" w:eastAsia="黑体" w:cs="Times New Roman"/>
      <w:b/>
      <w:bCs/>
      <w:sz w:val="28"/>
      <w:szCs w:val="28"/>
    </w:rPr>
  </w:style>
  <w:style w:type="paragraph" w:customStyle="1" w:styleId="59">
    <w:name w:val="No Spacing"/>
    <w:autoRedefine/>
    <w:qFormat/>
    <w:uiPriority w:val="1"/>
    <w:pPr>
      <w:adjustRightInd w:val="0"/>
      <w:snapToGrid w:val="0"/>
    </w:pPr>
    <w:rPr>
      <w:rFonts w:ascii="Tahoma" w:hAnsi="Tahoma" w:eastAsia="微软雅黑" w:cs="Times New Roman"/>
      <w:kern w:val="0"/>
      <w:sz w:val="22"/>
      <w:szCs w:val="22"/>
      <w:lang w:val="en-US" w:eastAsia="zh-CN" w:bidi="ar-SA"/>
    </w:rPr>
  </w:style>
  <w:style w:type="paragraph" w:customStyle="1" w:styleId="60">
    <w:name w:val="附录标识"/>
    <w:basedOn w:val="1"/>
    <w:next w:val="48"/>
    <w:autoRedefine/>
    <w:qFormat/>
    <w:uiPriority w:val="0"/>
    <w:pPr>
      <w:keepNext/>
      <w:widowControl/>
      <w:numPr>
        <w:ilvl w:val="0"/>
        <w:numId w:val="1"/>
      </w:numPr>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61">
    <w:name w:val="TOC 标题1"/>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Cs w:val="28"/>
    </w:rPr>
  </w:style>
  <w:style w:type="character" w:customStyle="1" w:styleId="62">
    <w:name w:val="批注文字 字符1"/>
    <w:basedOn w:val="25"/>
    <w:autoRedefine/>
    <w:semiHidden/>
    <w:qFormat/>
    <w:uiPriority w:val="99"/>
  </w:style>
  <w:style w:type="character" w:customStyle="1" w:styleId="63">
    <w:name w:val="批注主题 字符1"/>
    <w:basedOn w:val="62"/>
    <w:autoRedefine/>
    <w:semiHidden/>
    <w:qFormat/>
    <w:uiPriority w:val="0"/>
    <w:rPr>
      <w:b/>
      <w:bCs/>
    </w:rPr>
  </w:style>
  <w:style w:type="character" w:customStyle="1" w:styleId="64">
    <w:name w:val="纯文本 字符"/>
    <w:basedOn w:val="25"/>
    <w:link w:val="13"/>
    <w:autoRedefine/>
    <w:qFormat/>
    <w:uiPriority w:val="0"/>
    <w:rPr>
      <w:rFonts w:ascii="宋体" w:hAnsi="Courier New" w:eastAsia="仿宋" w:cs="Times New Roman"/>
      <w:sz w:val="24"/>
      <w:szCs w:val="20"/>
    </w:rPr>
  </w:style>
  <w:style w:type="character" w:customStyle="1" w:styleId="65">
    <w:name w:val="尾注文本 字符"/>
    <w:basedOn w:val="25"/>
    <w:link w:val="14"/>
    <w:autoRedefine/>
    <w:semiHidden/>
    <w:qFormat/>
    <w:uiPriority w:val="99"/>
    <w:rPr>
      <w:rFonts w:ascii="Calibri" w:hAnsi="Calibri" w:eastAsia="仿宋" w:cs="Times New Roman"/>
      <w:sz w:val="30"/>
    </w:rPr>
  </w:style>
  <w:style w:type="paragraph" w:customStyle="1" w:styleId="66">
    <w:name w:val="图表"/>
    <w:basedOn w:val="1"/>
    <w:autoRedefine/>
    <w:qFormat/>
    <w:uiPriority w:val="0"/>
    <w:pPr>
      <w:spacing w:line="360" w:lineRule="auto"/>
      <w:ind w:firstLine="480" w:firstLineChars="200"/>
      <w:jc w:val="center"/>
    </w:pPr>
    <w:rPr>
      <w:rFonts w:ascii="仿宋" w:hAnsi="仿宋" w:eastAsia="仿宋" w:cs="Times New Roman"/>
      <w:sz w:val="24"/>
      <w:szCs w:val="24"/>
    </w:rPr>
  </w:style>
  <w:style w:type="character" w:customStyle="1" w:styleId="67">
    <w:name w:val="标题 3 Char"/>
    <w:autoRedefine/>
    <w:qFormat/>
    <w:uiPriority w:val="0"/>
    <w:rPr>
      <w:rFonts w:ascii="Calibri" w:hAnsi="Calibri" w:cs="黑体"/>
      <w:b/>
      <w:bCs/>
      <w:kern w:val="2"/>
      <w:sz w:val="32"/>
      <w:szCs w:val="32"/>
    </w:rPr>
  </w:style>
  <w:style w:type="character" w:customStyle="1" w:styleId="68">
    <w:name w:val="Subtle Emphasis"/>
    <w:basedOn w:val="25"/>
    <w:autoRedefine/>
    <w:qFormat/>
    <w:uiPriority w:val="19"/>
    <w:rPr>
      <w:i/>
      <w:iCs/>
      <w:color w:val="404040" w:themeColor="text1" w:themeTint="BF"/>
      <w14:textFill>
        <w14:solidFill>
          <w14:schemeClr w14:val="tx1">
            <w14:lumMod w14:val="75000"/>
            <w14:lumOff w14:val="25000"/>
          </w14:schemeClr>
        </w14:solidFill>
      </w14:textFill>
    </w:rPr>
  </w:style>
  <w:style w:type="paragraph" w:customStyle="1" w:styleId="69">
    <w:name w:val="列出段落3"/>
    <w:basedOn w:val="1"/>
    <w:autoRedefine/>
    <w:qFormat/>
    <w:uiPriority w:val="99"/>
    <w:pPr>
      <w:ind w:firstLine="420" w:firstLineChars="200"/>
    </w:pPr>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11901</Words>
  <Characters>12845</Characters>
  <Lines>141</Lines>
  <Paragraphs>39</Paragraphs>
  <TotalTime>19</TotalTime>
  <ScaleCrop>false</ScaleCrop>
  <LinksUpToDate>false</LinksUpToDate>
  <CharactersWithSpaces>12918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2021-02-24T09:47:00Z</dcterms:created>
  <dc:creator>张晋</dc:creator>
  <cp:lastModifiedBy>张晋</cp:lastModifiedBy>
  <cp:lastPrinted>2021-03-06T02:15:00Z</cp:lastPrinted>
  <dcterms:modified xsi:type="dcterms:W3CDTF">2024-01-23T09:45:02Z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6C1D151796384F929D7C7E3FE6991AF0_13</vt:lpwstr>
  </property>
</Properties>
</file>